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4B0" w:rsidRDefault="00271384">
      <w:pPr>
        <w:pStyle w:val="NoSpacing"/>
        <w:suppressAutoHyphens/>
        <w:jc w:val="both"/>
        <w:rPr>
          <w:rStyle w:val="dnA"/>
          <w:rFonts w:ascii="Georgia" w:hAnsi="Georgia"/>
          <w:sz w:val="24"/>
          <w:szCs w:val="24"/>
        </w:rPr>
      </w:pPr>
      <w:r>
        <w:rPr>
          <w:noProof/>
        </w:rPr>
        <w:drawing>
          <wp:anchor distT="0" distB="0" distL="0" distR="0" simplePos="0" relativeHeight="251659264" behindDoc="0" locked="0" layoutInCell="1" allowOverlap="1">
            <wp:simplePos x="0" y="0"/>
            <wp:positionH relativeFrom="margin">
              <wp:posOffset>3740784</wp:posOffset>
            </wp:positionH>
            <wp:positionV relativeFrom="line">
              <wp:posOffset>187960</wp:posOffset>
            </wp:positionV>
            <wp:extent cx="1714500" cy="1104900"/>
            <wp:effectExtent l="0" t="0" r="0" b="0"/>
            <wp:wrapNone/>
            <wp:docPr id="1073741825" name="officeArt object" descr="O:\STATIONERY AND LOGOS\logos\Current logo\MDAC - main.png"/>
            <wp:cNvGraphicFramePr/>
            <a:graphic xmlns:a="http://schemas.openxmlformats.org/drawingml/2006/main">
              <a:graphicData uri="http://schemas.openxmlformats.org/drawingml/2006/picture">
                <pic:pic xmlns:pic="http://schemas.openxmlformats.org/drawingml/2006/picture">
                  <pic:nvPicPr>
                    <pic:cNvPr id="1073741825" name="image1.png" descr="O:\STATIONERY AND LOGOS\logos\Current logo\MDAC - main.png"/>
                    <pic:cNvPicPr>
                      <a:picLocks noChangeAspect="1"/>
                    </pic:cNvPicPr>
                  </pic:nvPicPr>
                  <pic:blipFill>
                    <a:blip r:embed="rId8">
                      <a:extLst/>
                    </a:blip>
                    <a:stretch>
                      <a:fillRect/>
                    </a:stretch>
                  </pic:blipFill>
                  <pic:spPr>
                    <a:xfrm>
                      <a:off x="0" y="0"/>
                      <a:ext cx="1714500" cy="1104900"/>
                    </a:xfrm>
                    <a:prstGeom prst="rect">
                      <a:avLst/>
                    </a:prstGeom>
                    <a:ln w="12700" cap="flat">
                      <a:noFill/>
                      <a:miter lim="400000"/>
                    </a:ln>
                    <a:effectLst/>
                  </pic:spPr>
                </pic:pic>
              </a:graphicData>
            </a:graphic>
          </wp:anchor>
        </w:drawing>
      </w:r>
    </w:p>
    <w:p w:rsidR="00A244B0" w:rsidRDefault="00A244B0">
      <w:pPr>
        <w:pStyle w:val="NoSpacing"/>
        <w:suppressAutoHyphens/>
        <w:jc w:val="both"/>
        <w:rPr>
          <w:rFonts w:ascii="Georgia" w:hAnsi="Georgia"/>
          <w:sz w:val="24"/>
          <w:szCs w:val="24"/>
        </w:rPr>
      </w:pPr>
    </w:p>
    <w:p w:rsidR="00A244B0" w:rsidRDefault="00271384">
      <w:pPr>
        <w:pStyle w:val="Text"/>
        <w:tabs>
          <w:tab w:val="left" w:pos="3840"/>
        </w:tabs>
        <w:suppressAutoHyphens/>
        <w:jc w:val="both"/>
        <w:rPr>
          <w:rStyle w:val="dnA"/>
          <w:rFonts w:ascii="Georgia" w:eastAsia="Georgia" w:hAnsi="Georgia" w:cs="Georgia"/>
          <w:b/>
          <w:bCs/>
          <w:sz w:val="64"/>
          <w:szCs w:val="64"/>
        </w:rPr>
      </w:pPr>
      <w:r>
        <w:rPr>
          <w:rStyle w:val="dnA"/>
          <w:rFonts w:ascii="Georgia" w:hAnsi="Georgia"/>
          <w:b/>
          <w:bCs/>
          <w:sz w:val="64"/>
          <w:szCs w:val="64"/>
        </w:rPr>
        <w:t>FORUM</w:t>
      </w:r>
    </w:p>
    <w:p w:rsidR="00A244B0" w:rsidRDefault="00271384">
      <w:pPr>
        <w:pStyle w:val="Text"/>
        <w:tabs>
          <w:tab w:val="left" w:pos="3840"/>
        </w:tabs>
        <w:suppressAutoHyphens/>
        <w:jc w:val="both"/>
        <w:rPr>
          <w:rStyle w:val="dnA"/>
          <w:rFonts w:ascii="Georgia" w:eastAsia="Georgia" w:hAnsi="Georgia" w:cs="Georgia"/>
          <w:b/>
          <w:bCs/>
          <w:sz w:val="64"/>
          <w:szCs w:val="64"/>
        </w:rPr>
      </w:pPr>
      <w:r>
        <w:rPr>
          <w:rStyle w:val="dnA"/>
          <w:rFonts w:ascii="Georgia" w:hAnsi="Georgia"/>
          <w:sz w:val="32"/>
          <w:szCs w:val="32"/>
          <w:shd w:val="clear" w:color="auto" w:fill="EEECE1"/>
        </w:rPr>
        <w:t>Human Rights</w:t>
      </w:r>
    </w:p>
    <w:p w:rsidR="00A244B0" w:rsidRDefault="00A244B0">
      <w:pPr>
        <w:pStyle w:val="NoSpacing"/>
        <w:suppressAutoHyphens/>
        <w:jc w:val="both"/>
        <w:rPr>
          <w:rFonts w:ascii="Georgia" w:eastAsia="Georgia" w:hAnsi="Georgia" w:cs="Georgia"/>
          <w:sz w:val="24"/>
          <w:szCs w:val="24"/>
        </w:rPr>
      </w:pP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sz w:val="24"/>
          <w:szCs w:val="24"/>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sz w:val="24"/>
          <w:szCs w:val="24"/>
        </w:rPr>
      </w:pPr>
      <w:r>
        <w:rPr>
          <w:rStyle w:val="dnA"/>
          <w:sz w:val="24"/>
          <w:szCs w:val="24"/>
        </w:rPr>
        <w:t xml:space="preserve"> </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sz w:val="24"/>
          <w:szCs w:val="24"/>
        </w:rPr>
      </w:pP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sz w:val="24"/>
          <w:szCs w:val="24"/>
        </w:rPr>
      </w:pP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sz w:val="24"/>
          <w:szCs w:val="24"/>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b/>
          <w:bCs/>
          <w:sz w:val="28"/>
          <w:szCs w:val="28"/>
        </w:rPr>
      </w:pPr>
      <w:r>
        <w:rPr>
          <w:rStyle w:val="dnA"/>
          <w:rFonts w:ascii="Futura Lt BT" w:eastAsia="Futura Lt BT" w:hAnsi="Futura Lt BT" w:cs="Futura Lt BT"/>
          <w:b/>
          <w:bCs/>
          <w:sz w:val="28"/>
          <w:szCs w:val="28"/>
        </w:rPr>
        <w:t xml:space="preserve">NGO information to the United Nations Committee on the Elimination of Discrimination against Women </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Futura Lt BT" w:eastAsia="Futura Lt BT" w:hAnsi="Futura Lt BT" w:cs="Futura Lt BT"/>
          <w:sz w:val="28"/>
          <w:szCs w:val="28"/>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b/>
          <w:bCs/>
          <w:sz w:val="28"/>
          <w:szCs w:val="28"/>
        </w:rPr>
      </w:pPr>
      <w:r>
        <w:rPr>
          <w:rStyle w:val="dnA"/>
          <w:rFonts w:ascii="Futura Lt BT" w:eastAsia="Futura Lt BT" w:hAnsi="Futura Lt BT" w:cs="Futura Lt BT"/>
          <w:b/>
          <w:bCs/>
          <w:sz w:val="28"/>
          <w:szCs w:val="28"/>
        </w:rPr>
        <w:t xml:space="preserve">The Sixth Periodic Report of the Czech Republic under the Convention on the Elimination of All Forms of Discrimination </w:t>
      </w:r>
      <w:r>
        <w:rPr>
          <w:rStyle w:val="dnA"/>
          <w:rFonts w:ascii="Futura Lt BT" w:eastAsia="Futura Lt BT" w:hAnsi="Futura Lt BT" w:cs="Futura Lt BT"/>
          <w:b/>
          <w:bCs/>
          <w:sz w:val="28"/>
          <w:szCs w:val="28"/>
        </w:rPr>
        <w:t>against Women</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Futura Lt BT" w:eastAsia="Futura Lt BT" w:hAnsi="Futura Lt BT" w:cs="Futura Lt BT"/>
          <w:b/>
          <w:bCs/>
          <w:sz w:val="28"/>
          <w:szCs w:val="28"/>
        </w:rPr>
      </w:pP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Futura Lt BT" w:eastAsia="Futura Lt BT" w:hAnsi="Futura Lt BT" w:cs="Futura Lt BT"/>
          <w:b/>
          <w:bCs/>
          <w:sz w:val="28"/>
          <w:szCs w:val="28"/>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sz w:val="28"/>
          <w:szCs w:val="28"/>
        </w:rPr>
      </w:pPr>
      <w:r>
        <w:rPr>
          <w:rStyle w:val="dnA"/>
          <w:rFonts w:ascii="Futura Lt BT" w:eastAsia="Futura Lt BT" w:hAnsi="Futura Lt BT" w:cs="Futura Lt BT"/>
          <w:b/>
          <w:bCs/>
          <w:sz w:val="28"/>
          <w:szCs w:val="28"/>
        </w:rPr>
        <w:t xml:space="preserve"> </w:t>
      </w: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sz w:val="28"/>
          <w:szCs w:val="28"/>
        </w:rPr>
      </w:pPr>
      <w:r>
        <w:rPr>
          <w:rStyle w:val="dnA"/>
          <w:rFonts w:ascii="Futura Lt BT" w:eastAsia="Futura Lt BT" w:hAnsi="Futura Lt BT" w:cs="Futura Lt BT"/>
          <w:b/>
          <w:bCs/>
          <w:sz w:val="28"/>
          <w:szCs w:val="28"/>
        </w:rPr>
        <w:t xml:space="preserve">_______________________________________ </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Futura Lt BT" w:eastAsia="Futura Lt BT" w:hAnsi="Futura Lt BT" w:cs="Futura Lt BT"/>
          <w:sz w:val="28"/>
          <w:szCs w:val="28"/>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sz w:val="28"/>
          <w:szCs w:val="28"/>
        </w:rPr>
      </w:pPr>
      <w:r>
        <w:rPr>
          <w:rStyle w:val="dnA"/>
          <w:rFonts w:ascii="Futura Lt BT" w:eastAsia="Futura Lt BT" w:hAnsi="Futura Lt BT" w:cs="Futura Lt BT"/>
          <w:sz w:val="28"/>
          <w:szCs w:val="28"/>
        </w:rPr>
        <w:t xml:space="preserve">Submitted by the </w:t>
      </w: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sz w:val="28"/>
          <w:szCs w:val="28"/>
        </w:rPr>
      </w:pPr>
      <w:r>
        <w:rPr>
          <w:rStyle w:val="dnA"/>
          <w:rFonts w:ascii="Futura Lt BT" w:eastAsia="Futura Lt BT" w:hAnsi="Futura Lt BT" w:cs="Futura Lt BT"/>
          <w:sz w:val="28"/>
          <w:szCs w:val="28"/>
        </w:rPr>
        <w:t xml:space="preserve">Mental Disability Advocacy Centre (MDAC) </w:t>
      </w: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sz w:val="28"/>
          <w:szCs w:val="28"/>
        </w:rPr>
      </w:pPr>
      <w:r>
        <w:rPr>
          <w:rStyle w:val="dnA"/>
          <w:rFonts w:ascii="Futura Lt BT" w:eastAsia="Futura Lt BT" w:hAnsi="Futura Lt BT" w:cs="Futura Lt BT"/>
          <w:sz w:val="28"/>
          <w:szCs w:val="28"/>
        </w:rPr>
        <w:t xml:space="preserve">&amp; </w:t>
      </w: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Futura Lt BT" w:eastAsia="Futura Lt BT" w:hAnsi="Futura Lt BT" w:cs="Futura Lt BT"/>
          <w:sz w:val="28"/>
          <w:szCs w:val="28"/>
        </w:rPr>
      </w:pPr>
      <w:r>
        <w:rPr>
          <w:rStyle w:val="dnA"/>
          <w:rFonts w:ascii="Futura Lt BT" w:eastAsia="Futura Lt BT" w:hAnsi="Futura Lt BT" w:cs="Futura Lt BT"/>
          <w:sz w:val="28"/>
          <w:szCs w:val="28"/>
        </w:rPr>
        <w:t xml:space="preserve">Forum for Human Rights (FORUM) </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Futura Lt BT" w:eastAsia="Futura Lt BT" w:hAnsi="Futura Lt BT" w:cs="Futura Lt BT"/>
          <w:sz w:val="28"/>
          <w:szCs w:val="28"/>
        </w:rPr>
      </w:pP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Futura Lt BT" w:eastAsia="Futura Lt BT" w:hAnsi="Futura Lt BT" w:cs="Futura Lt BT"/>
          <w:sz w:val="28"/>
          <w:szCs w:val="28"/>
        </w:rPr>
      </w:pPr>
    </w:p>
    <w:p w:rsidR="00A244B0" w:rsidRDefault="00271384">
      <w:pPr>
        <w:pStyle w:val="Text"/>
        <w:jc w:val="center"/>
      </w:pPr>
      <w:r>
        <w:rPr>
          <w:rStyle w:val="dnA"/>
          <w:rFonts w:ascii="Futura Lt BT" w:eastAsia="Futura Lt BT" w:hAnsi="Futura Lt BT" w:cs="Futura Lt BT"/>
          <w:sz w:val="28"/>
          <w:szCs w:val="28"/>
        </w:rPr>
        <w:t>22 January 2016</w:t>
      </w:r>
      <w:r>
        <w:rPr>
          <w:rStyle w:val="dnA"/>
          <w:rFonts w:ascii="Futura Lt BT" w:eastAsia="Futura Lt BT" w:hAnsi="Futura Lt BT" w:cs="Futura Lt BT"/>
          <w:b/>
          <w:bCs/>
          <w:sz w:val="28"/>
          <w:szCs w:val="28"/>
        </w:rPr>
        <w:br w:type="page"/>
      </w:r>
    </w:p>
    <w:p w:rsidR="00A244B0" w:rsidRDefault="00271384">
      <w:pPr>
        <w:pStyle w:val="VchozA"/>
        <w:numPr>
          <w:ilvl w:val="0"/>
          <w:numId w:val="2"/>
        </w:numPr>
        <w:suppressAutoHyphens/>
        <w:rPr>
          <w:rStyle w:val="dnA"/>
          <w:rFonts w:ascii="Futura Lt BT" w:eastAsia="Futura Lt BT" w:hAnsi="Futura Lt BT" w:cs="Futura Lt BT"/>
          <w:b/>
          <w:bCs/>
          <w:sz w:val="28"/>
          <w:szCs w:val="28"/>
        </w:rPr>
      </w:pPr>
      <w:r>
        <w:rPr>
          <w:rStyle w:val="dnA"/>
          <w:rFonts w:ascii="Futura Lt BT" w:eastAsia="Futura Lt BT" w:hAnsi="Futura Lt BT" w:cs="Futura Lt BT"/>
          <w:b/>
          <w:bCs/>
          <w:sz w:val="28"/>
          <w:szCs w:val="28"/>
        </w:rPr>
        <w:lastRenderedPageBreak/>
        <w:t xml:space="preserve">OVERVIEW </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Futura Lt BT" w:eastAsia="Futura Lt BT" w:hAnsi="Futura Lt BT" w:cs="Futura Lt BT"/>
          <w:sz w:val="24"/>
          <w:szCs w:val="24"/>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This written submission provides an outline of issues of concern with </w:t>
      </w:r>
      <w:r>
        <w:rPr>
          <w:rStyle w:val="dnA"/>
          <w:rFonts w:ascii="Futura Lt BT" w:eastAsia="Futura Lt BT" w:hAnsi="Futura Lt BT" w:cs="Futura Lt BT"/>
          <w:sz w:val="24"/>
          <w:szCs w:val="24"/>
        </w:rPr>
        <w:t>regard to the Czech Republic’s compliance with the provisions of the Convention on the Elimination of All Forms of Discrimination against Women (hereinafter “the Convention”), with particular focus on the enjoyment of those rights by persons with mental di</w:t>
      </w:r>
      <w:r>
        <w:rPr>
          <w:rStyle w:val="dnA"/>
          <w:rFonts w:ascii="Futura Lt BT" w:eastAsia="Futura Lt BT" w:hAnsi="Futura Lt BT" w:cs="Futura Lt BT"/>
          <w:sz w:val="24"/>
          <w:szCs w:val="24"/>
        </w:rPr>
        <w:t>sabilities.</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Futura Lt BT" w:eastAsia="Futura Lt BT" w:hAnsi="Futura Lt BT" w:cs="Futura Lt BT"/>
          <w:sz w:val="24"/>
          <w:szCs w:val="24"/>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The submission has been written by the Mental Disability Advocacy Centre (MDAC) and Forum for Human Rights (FORUM). MDAC is an international human rights </w:t>
      </w:r>
      <w:proofErr w:type="spellStart"/>
      <w:r>
        <w:rPr>
          <w:rStyle w:val="dnA"/>
          <w:rFonts w:ascii="Futura Lt BT" w:eastAsia="Futura Lt BT" w:hAnsi="Futura Lt BT" w:cs="Futura Lt BT"/>
          <w:sz w:val="24"/>
          <w:szCs w:val="24"/>
        </w:rPr>
        <w:t>organisation</w:t>
      </w:r>
      <w:proofErr w:type="spellEnd"/>
      <w:r>
        <w:rPr>
          <w:rStyle w:val="dnA"/>
          <w:rFonts w:ascii="Futura Lt BT" w:eastAsia="Futura Lt BT" w:hAnsi="Futura Lt BT" w:cs="Futura Lt BT"/>
          <w:sz w:val="24"/>
          <w:szCs w:val="24"/>
        </w:rPr>
        <w:t xml:space="preserve"> which uses the law to secure equality, inclusion and justice for people with</w:t>
      </w:r>
      <w:r>
        <w:rPr>
          <w:rStyle w:val="dnA"/>
          <w:rFonts w:ascii="Futura Lt BT" w:eastAsia="Futura Lt BT" w:hAnsi="Futura Lt BT" w:cs="Futura Lt BT"/>
          <w:sz w:val="24"/>
          <w:szCs w:val="24"/>
        </w:rPr>
        <w:t xml:space="preserve"> mental disabilities worldwide. MDAC’s vision is a world of equality where emotional, mental and learning differences are valued equally; where the inherent autonomy and dignity of each person is fully respected; and where human rights are </w:t>
      </w:r>
      <w:proofErr w:type="spellStart"/>
      <w:r>
        <w:rPr>
          <w:rStyle w:val="dnA"/>
          <w:rFonts w:ascii="Futura Lt BT" w:eastAsia="Futura Lt BT" w:hAnsi="Futura Lt BT" w:cs="Futura Lt BT"/>
          <w:sz w:val="24"/>
          <w:szCs w:val="24"/>
        </w:rPr>
        <w:t>realised</w:t>
      </w:r>
      <w:proofErr w:type="spellEnd"/>
      <w:r>
        <w:rPr>
          <w:rStyle w:val="dnA"/>
          <w:rFonts w:ascii="Futura Lt BT" w:eastAsia="Futura Lt BT" w:hAnsi="Futura Lt BT" w:cs="Futura Lt BT"/>
          <w:sz w:val="24"/>
          <w:szCs w:val="24"/>
        </w:rPr>
        <w:t xml:space="preserve"> for all</w:t>
      </w:r>
      <w:r>
        <w:rPr>
          <w:rStyle w:val="dnA"/>
          <w:rFonts w:ascii="Futura Lt BT" w:eastAsia="Futura Lt BT" w:hAnsi="Futura Lt BT" w:cs="Futura Lt BT"/>
          <w:sz w:val="24"/>
          <w:szCs w:val="24"/>
        </w:rPr>
        <w:t xml:space="preserve"> persons without discrimination of any form. MDAC has participatory status at the Council of Europe, and observer status at ECOSOC. For more information, please visit </w:t>
      </w:r>
      <w:hyperlink r:id="rId9" w:history="1">
        <w:r>
          <w:rPr>
            <w:rStyle w:val="Hyperlink0"/>
          </w:rPr>
          <w:t>www.mdac.org</w:t>
        </w:r>
      </w:hyperlink>
      <w:r>
        <w:rPr>
          <w:rStyle w:val="dnA"/>
          <w:rFonts w:ascii="Futura Lt BT" w:eastAsia="Futura Lt BT" w:hAnsi="Futura Lt BT" w:cs="Futura Lt BT"/>
          <w:sz w:val="24"/>
          <w:szCs w:val="24"/>
        </w:rPr>
        <w:t xml:space="preserve">. </w:t>
      </w:r>
    </w:p>
    <w:p w:rsidR="00A244B0" w:rsidRDefault="00A244B0">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Futura Lt BT" w:eastAsia="Futura Lt BT" w:hAnsi="Futura Lt BT" w:cs="Futura Lt BT"/>
          <w:sz w:val="24"/>
          <w:szCs w:val="24"/>
        </w:rPr>
      </w:pPr>
    </w:p>
    <w:p w:rsidR="00A244B0" w:rsidRDefault="00271384">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FORUM is an international human rights </w:t>
      </w:r>
      <w:proofErr w:type="spellStart"/>
      <w:r>
        <w:rPr>
          <w:rStyle w:val="dnA"/>
          <w:rFonts w:ascii="Futura Lt BT" w:eastAsia="Futura Lt BT" w:hAnsi="Futura Lt BT" w:cs="Futura Lt BT"/>
          <w:sz w:val="24"/>
          <w:szCs w:val="24"/>
        </w:rPr>
        <w:t>organisation</w:t>
      </w:r>
      <w:proofErr w:type="spellEnd"/>
      <w:r>
        <w:rPr>
          <w:rStyle w:val="dnA"/>
          <w:rFonts w:ascii="Futura Lt BT" w:eastAsia="Futura Lt BT" w:hAnsi="Futura Lt BT" w:cs="Futura Lt BT"/>
          <w:sz w:val="24"/>
          <w:szCs w:val="24"/>
        </w:rPr>
        <w:t xml:space="preserve"> working in the Central European region. It provides support and leads domestic and international litigation and advocacy activities. FORUM has been supporting a number of cases pending before domestic jud</w:t>
      </w:r>
      <w:r>
        <w:rPr>
          <w:rStyle w:val="dnA"/>
          <w:rFonts w:ascii="Futura Lt BT" w:eastAsia="Futura Lt BT" w:hAnsi="Futura Lt BT" w:cs="Futura Lt BT"/>
          <w:sz w:val="24"/>
          <w:szCs w:val="24"/>
        </w:rPr>
        <w:t xml:space="preserve">icial authorities and before the European Court of Human Rights, </w:t>
      </w:r>
      <w:r>
        <w:rPr>
          <w:rStyle w:val="dnA"/>
          <w:rFonts w:ascii="Futura Lt BT" w:eastAsia="Futura Lt BT" w:hAnsi="Futura Lt BT" w:cs="Futura Lt BT"/>
          <w:i/>
          <w:iCs/>
          <w:sz w:val="24"/>
          <w:szCs w:val="24"/>
        </w:rPr>
        <w:t xml:space="preserve">inter alia </w:t>
      </w:r>
      <w:r>
        <w:rPr>
          <w:rStyle w:val="dnA"/>
          <w:rFonts w:ascii="Futura Lt BT" w:eastAsia="Futura Lt BT" w:hAnsi="Futura Lt BT" w:cs="Futura Lt BT"/>
          <w:sz w:val="24"/>
          <w:szCs w:val="24"/>
        </w:rPr>
        <w:t xml:space="preserve">on violation of social rights, on the rights of women with disabilities, on the protection of vulnerable groups against torture and ill-treatment in different settings, etc. FORUM </w:t>
      </w:r>
      <w:r>
        <w:rPr>
          <w:rStyle w:val="dnA"/>
          <w:rFonts w:ascii="Futura Lt BT" w:eastAsia="Futura Lt BT" w:hAnsi="Futura Lt BT" w:cs="Futura Lt BT"/>
          <w:sz w:val="24"/>
          <w:szCs w:val="24"/>
        </w:rPr>
        <w:t xml:space="preserve">also co-authored reports e.g. to the European Committee of Social Rights, UN CRPD and UN Human Rights Committee.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II. WOMEN WITH DISABILITIES AND SPECIFIC ISSUES OF CONCERN</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Women with disabilities make up a significant portion of the global population.</w:t>
      </w:r>
      <w:r>
        <w:rPr>
          <w:rStyle w:val="dnA"/>
          <w:rFonts w:ascii="Futura Lt BT" w:eastAsia="Futura Lt BT" w:hAnsi="Futura Lt BT" w:cs="Futura Lt BT"/>
          <w:sz w:val="24"/>
          <w:szCs w:val="24"/>
          <w:vertAlign w:val="superscript"/>
        </w:rPr>
        <w:footnoteReference w:id="2"/>
      </w:r>
      <w:r>
        <w:rPr>
          <w:rStyle w:val="dnA"/>
          <w:rFonts w:ascii="Futura Lt BT" w:eastAsia="Futura Lt BT" w:hAnsi="Futura Lt BT" w:cs="Futura Lt BT"/>
          <w:sz w:val="24"/>
          <w:szCs w:val="24"/>
        </w:rPr>
        <w:t xml:space="preserve"> </w:t>
      </w:r>
      <w:r>
        <w:rPr>
          <w:rStyle w:val="dnA"/>
          <w:rFonts w:ascii="Futura Lt BT" w:eastAsia="Futura Lt BT" w:hAnsi="Futura Lt BT" w:cs="Futura Lt BT"/>
          <w:sz w:val="24"/>
          <w:szCs w:val="24"/>
        </w:rPr>
        <w:t xml:space="preserve">According to the 2011 WHO’s and World Bank’s </w:t>
      </w:r>
      <w:r>
        <w:rPr>
          <w:rStyle w:val="dnA"/>
          <w:rFonts w:ascii="Futura Lt BT" w:eastAsia="Futura Lt BT" w:hAnsi="Futura Lt BT" w:cs="Futura Lt BT"/>
          <w:i/>
          <w:iCs/>
          <w:sz w:val="24"/>
          <w:szCs w:val="24"/>
        </w:rPr>
        <w:t>World Report on Disability</w:t>
      </w:r>
      <w:r>
        <w:rPr>
          <w:rStyle w:val="dnA"/>
          <w:rFonts w:ascii="Futura Lt BT" w:eastAsia="Futura Lt BT" w:hAnsi="Futura Lt BT" w:cs="Futura Lt BT"/>
          <w:sz w:val="24"/>
          <w:szCs w:val="24"/>
        </w:rPr>
        <w:t>, it is estimated that approximately 15 per cent of the world’s population lives with some form of disability and that female prevalence</w:t>
      </w:r>
      <w:r w:rsidR="00CB2AF5">
        <w:rPr>
          <w:rStyle w:val="dnA"/>
          <w:rFonts w:ascii="Futura Lt BT" w:eastAsia="Futura Lt BT" w:hAnsi="Futura Lt BT" w:cs="Futura Lt BT"/>
          <w:sz w:val="24"/>
          <w:szCs w:val="24"/>
        </w:rPr>
        <w:t xml:space="preserve"> is 19.2, much higher than male</w:t>
      </w:r>
      <w:r>
        <w:rPr>
          <w:rStyle w:val="dnA"/>
          <w:rFonts w:ascii="Futura Lt BT" w:eastAsia="Futura Lt BT" w:hAnsi="Futura Lt BT" w:cs="Futura Lt BT"/>
          <w:sz w:val="24"/>
          <w:szCs w:val="24"/>
          <w:vertAlign w:val="superscript"/>
        </w:rPr>
        <w:footnoteReference w:id="3"/>
      </w:r>
      <w:r>
        <w:rPr>
          <w:rStyle w:val="dnA"/>
          <w:rFonts w:ascii="Futura Lt BT" w:eastAsia="Futura Lt BT" w:hAnsi="Futura Lt BT" w:cs="Futura Lt BT"/>
          <w:sz w:val="24"/>
          <w:szCs w:val="24"/>
        </w:rPr>
        <w:t xml:space="preserve"> Women with disa</w:t>
      </w:r>
      <w:r>
        <w:rPr>
          <w:rStyle w:val="dnA"/>
          <w:rFonts w:ascii="Futura Lt BT" w:eastAsia="Futura Lt BT" w:hAnsi="Futura Lt BT" w:cs="Futura Lt BT"/>
          <w:sz w:val="24"/>
          <w:szCs w:val="24"/>
        </w:rPr>
        <w:t>bilities experience both the stereotypical attitudes towards women and towards persons with disabilities, and an absence of institutional means to create their own social identities, cultivating a psychological sense of invisibility, self-estrangement, and</w:t>
      </w:r>
      <w:r>
        <w:rPr>
          <w:rStyle w:val="dnA"/>
          <w:rFonts w:ascii="Futura Lt BT" w:eastAsia="Futura Lt BT" w:hAnsi="Futura Lt BT" w:cs="Futura Lt BT"/>
          <w:sz w:val="24"/>
          <w:szCs w:val="24"/>
        </w:rPr>
        <w:t>/or powerlessness.</w:t>
      </w:r>
      <w:r>
        <w:rPr>
          <w:rStyle w:val="dnA"/>
          <w:rFonts w:ascii="Futura Lt BT" w:eastAsia="Futura Lt BT" w:hAnsi="Futura Lt BT" w:cs="Futura Lt BT"/>
          <w:sz w:val="24"/>
          <w:szCs w:val="24"/>
          <w:vertAlign w:val="superscript"/>
        </w:rPr>
        <w:footnoteReference w:id="4"/>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 xml:space="preserve">1. Gender-based violence and </w:t>
      </w:r>
      <w:proofErr w:type="spellStart"/>
      <w:r>
        <w:rPr>
          <w:rStyle w:val="dnA"/>
          <w:rFonts w:ascii="Futura Lt BT" w:eastAsia="Futura Lt BT" w:hAnsi="Futura Lt BT" w:cs="Futura Lt BT"/>
          <w:b/>
          <w:bCs/>
          <w:sz w:val="24"/>
          <w:szCs w:val="24"/>
        </w:rPr>
        <w:t>institutionalisation</w:t>
      </w:r>
      <w:proofErr w:type="spellEnd"/>
    </w:p>
    <w:p w:rsidR="00A244B0" w:rsidRDefault="00271384">
      <w:pPr>
        <w:pStyle w:val="NoSpacing"/>
        <w:tabs>
          <w:tab w:val="left" w:pos="5085"/>
        </w:tabs>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ab/>
      </w: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Despite already existing normative frameworks, as noted by the Special Rapporteur on violence against women, “</w:t>
      </w:r>
      <w:r>
        <w:rPr>
          <w:rStyle w:val="dnA"/>
          <w:rFonts w:ascii="Futura Lt BT" w:eastAsia="Futura Lt BT" w:hAnsi="Futura Lt BT" w:cs="Futura Lt BT"/>
          <w:i/>
          <w:iCs/>
          <w:sz w:val="24"/>
          <w:szCs w:val="24"/>
        </w:rPr>
        <w:t>the impact of the combined effects of both gender and disability have not</w:t>
      </w:r>
      <w:r>
        <w:rPr>
          <w:rStyle w:val="dnA"/>
          <w:rFonts w:ascii="Futura Lt BT" w:eastAsia="Futura Lt BT" w:hAnsi="Futura Lt BT" w:cs="Futura Lt BT"/>
          <w:i/>
          <w:iCs/>
          <w:sz w:val="24"/>
          <w:szCs w:val="24"/>
        </w:rPr>
        <w:t xml:space="preserve"> gained sufficient attention, and violence against women with disabilities remains largely unaddressed</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5"/>
      </w:r>
      <w:r>
        <w:rPr>
          <w:rStyle w:val="dnA"/>
          <w:rFonts w:ascii="Futura Lt BT" w:eastAsia="Futura Lt BT" w:hAnsi="Futura Lt BT" w:cs="Futura Lt BT"/>
          <w:sz w:val="24"/>
          <w:szCs w:val="24"/>
        </w:rPr>
        <w:t xml:space="preserve"> This situation is striking considering that women with disabilities are </w:t>
      </w:r>
      <w:r>
        <w:rPr>
          <w:rStyle w:val="dnA"/>
          <w:rFonts w:ascii="Futura Lt BT" w:eastAsia="Futura Lt BT" w:hAnsi="Futura Lt BT" w:cs="Futura Lt BT"/>
          <w:sz w:val="24"/>
          <w:szCs w:val="24"/>
        </w:rPr>
        <w:lastRenderedPageBreak/>
        <w:t>often victims of “</w:t>
      </w:r>
      <w:r>
        <w:rPr>
          <w:rStyle w:val="dnA"/>
          <w:rFonts w:ascii="Futura Lt BT" w:eastAsia="Futura Lt BT" w:hAnsi="Futura Lt BT" w:cs="Futura Lt BT"/>
          <w:i/>
          <w:iCs/>
          <w:sz w:val="24"/>
          <w:szCs w:val="24"/>
        </w:rPr>
        <w:t>unique forms of violence</w:t>
      </w:r>
      <w:r>
        <w:rPr>
          <w:rStyle w:val="dnA"/>
          <w:rFonts w:ascii="Futura Lt BT" w:eastAsia="Futura Lt BT" w:hAnsi="Futura Lt BT" w:cs="Futura Lt BT"/>
          <w:sz w:val="24"/>
          <w:szCs w:val="24"/>
        </w:rPr>
        <w:t>”, which “</w:t>
      </w:r>
      <w:r>
        <w:rPr>
          <w:rStyle w:val="dnA"/>
          <w:rFonts w:ascii="Futura Lt BT" w:eastAsia="Futura Lt BT" w:hAnsi="Futura Lt BT" w:cs="Futura Lt BT"/>
          <w:i/>
          <w:iCs/>
          <w:sz w:val="24"/>
          <w:szCs w:val="24"/>
        </w:rPr>
        <w:t>has unique causes and resu</w:t>
      </w:r>
      <w:r>
        <w:rPr>
          <w:rStyle w:val="dnA"/>
          <w:rFonts w:ascii="Futura Lt BT" w:eastAsia="Futura Lt BT" w:hAnsi="Futura Lt BT" w:cs="Futura Lt BT"/>
          <w:i/>
          <w:iCs/>
          <w:sz w:val="24"/>
          <w:szCs w:val="24"/>
        </w:rPr>
        <w:t>lts in unique consequences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6"/>
      </w:r>
      <w:r>
        <w:rPr>
          <w:rStyle w:val="dnA"/>
          <w:rFonts w:ascii="Futura Lt BT" w:eastAsia="Futura Lt BT" w:hAnsi="Futura Lt BT" w:cs="Futura Lt BT"/>
          <w:sz w:val="24"/>
          <w:szCs w:val="24"/>
        </w:rPr>
        <w:t xml:space="preserve">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In the Czech Republic there has been little research carried out in relation to the specific forms of violence suffered by women with disabilities. We however know from </w:t>
      </w:r>
      <w:r w:rsidR="00CB2AF5">
        <w:rPr>
          <w:rStyle w:val="dnA"/>
          <w:rFonts w:ascii="Futura Lt BT" w:eastAsia="Futura Lt BT" w:hAnsi="Futura Lt BT" w:cs="Futura Lt BT"/>
          <w:sz w:val="24"/>
          <w:szCs w:val="24"/>
        </w:rPr>
        <w:t>two pieces of global research</w:t>
      </w:r>
      <w:r>
        <w:rPr>
          <w:rStyle w:val="dnA"/>
          <w:rFonts w:ascii="Futura Lt BT" w:eastAsia="Futura Lt BT" w:hAnsi="Futura Lt BT" w:cs="Futura Lt BT"/>
          <w:sz w:val="24"/>
          <w:szCs w:val="24"/>
        </w:rPr>
        <w:t>, compared to women without disabilities, women with disabilities are more likely to experience physical and sexual violence, increased severity of violence, multiple forms of violence and longer durations of violence.</w:t>
      </w:r>
      <w:r>
        <w:rPr>
          <w:rStyle w:val="dnA"/>
          <w:rFonts w:ascii="Futura Lt BT" w:eastAsia="Futura Lt BT" w:hAnsi="Futura Lt BT" w:cs="Futura Lt BT"/>
          <w:sz w:val="24"/>
          <w:szCs w:val="24"/>
          <w:vertAlign w:val="superscript"/>
        </w:rPr>
        <w:footnoteReference w:id="7"/>
      </w:r>
      <w:r>
        <w:rPr>
          <w:rStyle w:val="dnA"/>
          <w:rFonts w:ascii="Futura Lt BT" w:eastAsia="Futura Lt BT" w:hAnsi="Futura Lt BT" w:cs="Futura Lt BT"/>
          <w:sz w:val="24"/>
          <w:szCs w:val="24"/>
        </w:rPr>
        <w:t xml:space="preserve"> </w:t>
      </w:r>
      <w:r>
        <w:rPr>
          <w:rStyle w:val="dnA"/>
          <w:rFonts w:ascii="Futura Lt BT" w:eastAsia="Futura Lt BT" w:hAnsi="Futura Lt BT" w:cs="Futura Lt BT"/>
          <w:sz w:val="24"/>
          <w:szCs w:val="24"/>
        </w:rPr>
        <w:t>It has also been noted that “</w:t>
      </w:r>
      <w:r>
        <w:rPr>
          <w:rStyle w:val="dnA"/>
          <w:rFonts w:ascii="Futura Lt BT" w:eastAsia="Futura Lt BT" w:hAnsi="Futura Lt BT" w:cs="Futura Lt BT"/>
          <w:i/>
          <w:iCs/>
          <w:sz w:val="24"/>
          <w:szCs w:val="24"/>
        </w:rPr>
        <w:t xml:space="preserve">older women experience disability more frequently </w:t>
      </w:r>
      <w:proofErr w:type="gramStart"/>
      <w:r>
        <w:rPr>
          <w:rStyle w:val="dnA"/>
          <w:rFonts w:ascii="Futura Lt BT" w:eastAsia="Futura Lt BT" w:hAnsi="Futura Lt BT" w:cs="Futura Lt BT"/>
          <w:i/>
          <w:iCs/>
          <w:sz w:val="24"/>
          <w:szCs w:val="24"/>
        </w:rPr>
        <w:t>…[</w:t>
      </w:r>
      <w:proofErr w:type="gramEnd"/>
      <w:r>
        <w:rPr>
          <w:rStyle w:val="dnA"/>
          <w:rFonts w:ascii="Futura Lt BT" w:eastAsia="Futura Lt BT" w:hAnsi="Futura Lt BT" w:cs="Futura Lt BT"/>
          <w:i/>
          <w:iCs/>
          <w:sz w:val="24"/>
          <w:szCs w:val="24"/>
        </w:rPr>
        <w:t>and] are at particularly high risk of violence</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8"/>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Other examples of violence perpetuated agai</w:t>
      </w:r>
      <w:r>
        <w:rPr>
          <w:rStyle w:val="dnA"/>
          <w:rFonts w:ascii="Futura Lt BT" w:eastAsia="Futura Lt BT" w:hAnsi="Futura Lt BT" w:cs="Futura Lt BT"/>
          <w:sz w:val="24"/>
          <w:szCs w:val="24"/>
        </w:rPr>
        <w:t xml:space="preserve">nst women with disabilities include </w:t>
      </w:r>
      <w:proofErr w:type="spellStart"/>
      <w:r>
        <w:rPr>
          <w:rStyle w:val="dnA"/>
          <w:rFonts w:ascii="Futura Lt BT" w:eastAsia="Futura Lt BT" w:hAnsi="Futura Lt BT" w:cs="Futura Lt BT"/>
          <w:sz w:val="24"/>
          <w:szCs w:val="24"/>
        </w:rPr>
        <w:t>sterilisation</w:t>
      </w:r>
      <w:proofErr w:type="spellEnd"/>
      <w:r>
        <w:rPr>
          <w:rStyle w:val="dnA"/>
          <w:rFonts w:ascii="Futura Lt BT" w:eastAsia="Futura Lt BT" w:hAnsi="Futura Lt BT" w:cs="Futura Lt BT"/>
          <w:sz w:val="24"/>
          <w:szCs w:val="24"/>
        </w:rPr>
        <w:t xml:space="preserve"> and forced termination of pregnancy. In Czechoslovakia, a Public Decree on </w:t>
      </w:r>
      <w:proofErr w:type="spellStart"/>
      <w:r>
        <w:rPr>
          <w:rStyle w:val="dnA"/>
          <w:rFonts w:ascii="Futura Lt BT" w:eastAsia="Futura Lt BT" w:hAnsi="Futura Lt BT" w:cs="Futura Lt BT"/>
          <w:sz w:val="24"/>
          <w:szCs w:val="24"/>
        </w:rPr>
        <w:t>Sterilisation</w:t>
      </w:r>
      <w:proofErr w:type="spellEnd"/>
      <w:r>
        <w:rPr>
          <w:rStyle w:val="dnA"/>
          <w:rFonts w:ascii="Futura Lt BT" w:eastAsia="Futura Lt BT" w:hAnsi="Futura Lt BT" w:cs="Futura Lt BT"/>
          <w:sz w:val="24"/>
          <w:szCs w:val="24"/>
        </w:rPr>
        <w:t xml:space="preserve"> from 1972 enabled public authorities to take programmatic steps to encourage the </w:t>
      </w:r>
      <w:proofErr w:type="spellStart"/>
      <w:r>
        <w:rPr>
          <w:rStyle w:val="dnA"/>
          <w:rFonts w:ascii="Futura Lt BT" w:eastAsia="Futura Lt BT" w:hAnsi="Futura Lt BT" w:cs="Futura Lt BT"/>
          <w:sz w:val="24"/>
          <w:szCs w:val="24"/>
        </w:rPr>
        <w:t>sterilisation</w:t>
      </w:r>
      <w:proofErr w:type="spellEnd"/>
      <w:r>
        <w:rPr>
          <w:rStyle w:val="dnA"/>
          <w:rFonts w:ascii="Futura Lt BT" w:eastAsia="Futura Lt BT" w:hAnsi="Futura Lt BT" w:cs="Futura Lt BT"/>
          <w:sz w:val="24"/>
          <w:szCs w:val="24"/>
        </w:rPr>
        <w:t xml:space="preserve"> of Romani women and wo</w:t>
      </w:r>
      <w:r>
        <w:rPr>
          <w:rStyle w:val="dnA"/>
          <w:rFonts w:ascii="Futura Lt BT" w:eastAsia="Futura Lt BT" w:hAnsi="Futura Lt BT" w:cs="Futura Lt BT"/>
          <w:sz w:val="24"/>
          <w:szCs w:val="24"/>
        </w:rPr>
        <w:t>men with disabilities placed in psychiatric institutions, in order to control their birth-rate. There has been no research in the Czech Republic to identify the number of women with disabilities who have been subjected to such procedures, nor are there con</w:t>
      </w:r>
      <w:r>
        <w:rPr>
          <w:rStyle w:val="dnA"/>
          <w:rFonts w:ascii="Futura Lt BT" w:eastAsia="Futura Lt BT" w:hAnsi="Futura Lt BT" w:cs="Futura Lt BT"/>
          <w:sz w:val="24"/>
          <w:szCs w:val="24"/>
        </w:rPr>
        <w:t>crete possibilities for these women to receive reparations and compensation.</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rPr>
      </w:pPr>
      <w:r>
        <w:rPr>
          <w:rStyle w:val="dnA"/>
          <w:rFonts w:ascii="Futura Lt BT" w:eastAsia="Futura Lt BT" w:hAnsi="Futura Lt BT" w:cs="Futura Lt BT"/>
          <w:sz w:val="24"/>
          <w:szCs w:val="24"/>
        </w:rPr>
        <w:t>Women with disabilities are more likely to experience violence in residential and institutional settings.</w:t>
      </w:r>
      <w:r>
        <w:rPr>
          <w:rStyle w:val="dnA"/>
          <w:rFonts w:ascii="Futura Lt BT" w:eastAsia="Futura Lt BT" w:hAnsi="Futura Lt BT" w:cs="Futura Lt BT"/>
          <w:sz w:val="24"/>
          <w:szCs w:val="24"/>
          <w:vertAlign w:val="superscript"/>
        </w:rPr>
        <w:footnoteReference w:id="9"/>
      </w:r>
      <w:r>
        <w:rPr>
          <w:rStyle w:val="dnA"/>
          <w:rFonts w:ascii="Futura Lt BT" w:eastAsia="Futura Lt BT" w:hAnsi="Futura Lt BT" w:cs="Futura Lt BT"/>
          <w:sz w:val="24"/>
          <w:szCs w:val="24"/>
        </w:rPr>
        <w:t xml:space="preserve"> The Special Rapporteur on violence against women has </w:t>
      </w:r>
      <w:proofErr w:type="spellStart"/>
      <w:r>
        <w:rPr>
          <w:rStyle w:val="dnA"/>
          <w:rFonts w:ascii="Futura Lt BT" w:eastAsia="Futura Lt BT" w:hAnsi="Futura Lt BT" w:cs="Futura Lt BT"/>
          <w:sz w:val="24"/>
          <w:szCs w:val="24"/>
        </w:rPr>
        <w:t>emphasised</w:t>
      </w:r>
      <w:proofErr w:type="spellEnd"/>
      <w:r>
        <w:rPr>
          <w:rStyle w:val="dnA"/>
          <w:rFonts w:ascii="Futura Lt BT" w:eastAsia="Futura Lt BT" w:hAnsi="Futura Lt BT" w:cs="Futura Lt BT"/>
          <w:sz w:val="24"/>
          <w:szCs w:val="24"/>
        </w:rPr>
        <w:t xml:space="preserve"> that “</w:t>
      </w:r>
      <w:r>
        <w:rPr>
          <w:rStyle w:val="dnA"/>
          <w:rFonts w:ascii="Futura Lt BT" w:eastAsia="Futura Lt BT" w:hAnsi="Futura Lt BT" w:cs="Futura Lt BT"/>
          <w:i/>
          <w:iCs/>
          <w:sz w:val="24"/>
          <w:szCs w:val="24"/>
        </w:rPr>
        <w:t>f</w:t>
      </w:r>
      <w:r>
        <w:rPr>
          <w:rStyle w:val="dnA"/>
          <w:rFonts w:ascii="Futura Lt BT" w:eastAsia="Futura Lt BT" w:hAnsi="Futura Lt BT" w:cs="Futura Lt BT"/>
          <w:i/>
          <w:iCs/>
          <w:sz w:val="24"/>
          <w:szCs w:val="24"/>
        </w:rPr>
        <w:t>orced institutionalization</w:t>
      </w:r>
      <w:r>
        <w:rPr>
          <w:rStyle w:val="dnA"/>
          <w:rFonts w:ascii="Futura Lt BT" w:eastAsia="Futura Lt BT" w:hAnsi="Futura Lt BT" w:cs="Futura Lt BT"/>
          <w:sz w:val="24"/>
          <w:szCs w:val="24"/>
        </w:rPr>
        <w:t xml:space="preserve"> </w:t>
      </w:r>
      <w:r>
        <w:rPr>
          <w:rStyle w:val="dnA"/>
          <w:rFonts w:ascii="Futura Lt BT" w:eastAsia="Futura Lt BT" w:hAnsi="Futura Lt BT" w:cs="Futura Lt BT"/>
          <w:i/>
          <w:iCs/>
          <w:sz w:val="24"/>
          <w:szCs w:val="24"/>
        </w:rPr>
        <w:t>itself constitutes a form of violence</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10"/>
      </w:r>
      <w:r>
        <w:rPr>
          <w:rStyle w:val="dnA"/>
          <w:rFonts w:ascii="Futura Lt BT" w:eastAsia="Futura Lt BT" w:hAnsi="Futura Lt BT" w:cs="Futura Lt BT"/>
          <w:sz w:val="24"/>
          <w:szCs w:val="24"/>
        </w:rPr>
        <w:t xml:space="preserve"> Regardless of whether the admission was voluntary or involuntary, </w:t>
      </w:r>
      <w:proofErr w:type="spellStart"/>
      <w:r>
        <w:rPr>
          <w:rStyle w:val="dnA"/>
          <w:rFonts w:ascii="Futura Lt BT" w:eastAsia="Futura Lt BT" w:hAnsi="Futura Lt BT" w:cs="Futura Lt BT"/>
          <w:sz w:val="24"/>
          <w:szCs w:val="24"/>
        </w:rPr>
        <w:t>institutionalisation</w:t>
      </w:r>
      <w:proofErr w:type="spellEnd"/>
      <w:r>
        <w:rPr>
          <w:rStyle w:val="dnA"/>
          <w:rFonts w:ascii="Futura Lt BT" w:eastAsia="Futura Lt BT" w:hAnsi="Futura Lt BT" w:cs="Futura Lt BT"/>
          <w:sz w:val="24"/>
          <w:szCs w:val="24"/>
        </w:rPr>
        <w:t xml:space="preserve"> results in social </w:t>
      </w:r>
      <w:proofErr w:type="gramStart"/>
      <w:r>
        <w:rPr>
          <w:rStyle w:val="dnA"/>
          <w:rFonts w:ascii="Futura Lt BT" w:eastAsia="Futura Lt BT" w:hAnsi="Futura Lt BT" w:cs="Futura Lt BT"/>
          <w:sz w:val="24"/>
          <w:szCs w:val="24"/>
        </w:rPr>
        <w:t>isolation,</w:t>
      </w:r>
      <w:proofErr w:type="gramEnd"/>
      <w:r>
        <w:rPr>
          <w:rStyle w:val="dnA"/>
          <w:rFonts w:ascii="Futura Lt BT" w:eastAsia="Futura Lt BT" w:hAnsi="Futura Lt BT" w:cs="Futura Lt BT"/>
          <w:sz w:val="24"/>
          <w:szCs w:val="24"/>
        </w:rPr>
        <w:t xml:space="preserve"> reduced environmental stimulation and loss of control over almost all as</w:t>
      </w:r>
      <w:r>
        <w:rPr>
          <w:rStyle w:val="dnA"/>
          <w:rFonts w:ascii="Futura Lt BT" w:eastAsia="Futura Lt BT" w:hAnsi="Futura Lt BT" w:cs="Futura Lt BT"/>
          <w:sz w:val="24"/>
          <w:szCs w:val="24"/>
        </w:rPr>
        <w:t xml:space="preserve">pects of daily life. </w:t>
      </w:r>
      <w:r w:rsidR="00CB2AF5">
        <w:rPr>
          <w:rStyle w:val="dnA"/>
          <w:rFonts w:ascii="Futura Lt BT" w:eastAsia="Futura Lt BT" w:hAnsi="Futura Lt BT" w:cs="Futura Lt BT"/>
        </w:rPr>
        <w:t xml:space="preserve">As </w:t>
      </w:r>
      <w:proofErr w:type="spellStart"/>
      <w:r w:rsidR="00CB2AF5">
        <w:rPr>
          <w:rStyle w:val="dnA"/>
          <w:rFonts w:ascii="Futura Lt BT" w:eastAsia="Futura Lt BT" w:hAnsi="Futura Lt BT" w:cs="Futura Lt BT"/>
        </w:rPr>
        <w:t>emphasis</w:t>
      </w:r>
      <w:r>
        <w:rPr>
          <w:rStyle w:val="dnA"/>
          <w:rFonts w:ascii="Futura Lt BT" w:eastAsia="Futura Lt BT" w:hAnsi="Futura Lt BT" w:cs="Futura Lt BT"/>
        </w:rPr>
        <w:t>ed</w:t>
      </w:r>
      <w:proofErr w:type="spellEnd"/>
      <w:r>
        <w:rPr>
          <w:rStyle w:val="dnA"/>
          <w:rFonts w:ascii="Futura Lt BT" w:eastAsia="Futura Lt BT" w:hAnsi="Futura Lt BT" w:cs="Futura Lt BT"/>
        </w:rPr>
        <w:t xml:space="preserve"> in a </w:t>
      </w:r>
      <w:r w:rsidR="00CB2AF5">
        <w:rPr>
          <w:rStyle w:val="dnA"/>
          <w:rFonts w:ascii="Futura Lt BT" w:eastAsia="Futura Lt BT" w:hAnsi="Futura Lt BT" w:cs="Futura Lt BT"/>
        </w:rPr>
        <w:t>judgment at</w:t>
      </w:r>
      <w:r>
        <w:rPr>
          <w:rStyle w:val="dnA"/>
          <w:rFonts w:ascii="Futura Lt BT" w:eastAsia="Futura Lt BT" w:hAnsi="Futura Lt BT" w:cs="Futura Lt BT"/>
        </w:rPr>
        <w:t xml:space="preserve"> the</w:t>
      </w:r>
      <w:r>
        <w:rPr>
          <w:rStyle w:val="dnA"/>
          <w:rFonts w:ascii="Futura Lt BT" w:eastAsia="Futura Lt BT" w:hAnsi="Futura Lt BT" w:cs="Futura Lt BT"/>
        </w:rPr>
        <w:t xml:space="preserve"> European Court of Human Rights, social isolation by forcing someone to live in a social care home </w:t>
      </w:r>
      <w:r w:rsidR="00CB2AF5">
        <w:rPr>
          <w:rStyle w:val="dnA"/>
          <w:rFonts w:ascii="Futura Lt BT" w:eastAsia="Futura Lt BT" w:hAnsi="Futura Lt BT" w:cs="Futura Lt BT"/>
        </w:rPr>
        <w:t xml:space="preserve">had </w:t>
      </w:r>
      <w:r>
        <w:rPr>
          <w:rStyle w:val="dnA"/>
          <w:rFonts w:ascii="Futura Lt BT" w:eastAsia="Futura Lt BT" w:hAnsi="Futura Lt BT" w:cs="Futura Lt BT"/>
        </w:rPr>
        <w:t>“</w:t>
      </w:r>
      <w:r>
        <w:rPr>
          <w:rStyle w:val="dnA"/>
          <w:rFonts w:ascii="Futura Lt BT" w:eastAsia="Futura Lt BT" w:hAnsi="Futura Lt BT" w:cs="Futura Lt BT"/>
          <w:i/>
          <w:iCs/>
        </w:rPr>
        <w:t xml:space="preserve">the result that </w:t>
      </w:r>
      <w:r w:rsidR="00CB2AF5">
        <w:rPr>
          <w:rStyle w:val="dnA"/>
          <w:rFonts w:ascii="Futura Lt BT" w:eastAsia="Futura Lt BT" w:hAnsi="Futura Lt BT" w:cs="Futura Lt BT"/>
          <w:i/>
          <w:iCs/>
        </w:rPr>
        <w:t>[the complainant]</w:t>
      </w:r>
      <w:r>
        <w:rPr>
          <w:rStyle w:val="dnA"/>
          <w:rFonts w:ascii="Futura Lt BT" w:eastAsia="Futura Lt BT" w:hAnsi="Futura Lt BT" w:cs="Futura Lt BT"/>
          <w:i/>
          <w:iCs/>
        </w:rPr>
        <w:t xml:space="preserve"> had developed ‘</w:t>
      </w:r>
      <w:proofErr w:type="spellStart"/>
      <w:r>
        <w:rPr>
          <w:rStyle w:val="dnA"/>
          <w:rFonts w:ascii="Futura Lt BT" w:eastAsia="Futura Lt BT" w:hAnsi="Futura Lt BT" w:cs="Futura Lt BT"/>
          <w:i/>
          <w:iCs/>
        </w:rPr>
        <w:t>institutionalisation</w:t>
      </w:r>
      <w:proofErr w:type="spellEnd"/>
      <w:r>
        <w:rPr>
          <w:rStyle w:val="dnA"/>
          <w:rFonts w:ascii="Futura Lt BT" w:eastAsia="Futura Lt BT" w:hAnsi="Futura Lt BT" w:cs="Futura Lt BT"/>
          <w:i/>
          <w:iCs/>
        </w:rPr>
        <w:t xml:space="preserve"> syndrome’, that is, the loss of social skills a</w:t>
      </w:r>
      <w:r w:rsidR="00CB2AF5">
        <w:rPr>
          <w:rStyle w:val="dnA"/>
          <w:rFonts w:ascii="Futura Lt BT" w:eastAsia="Futura Lt BT" w:hAnsi="Futura Lt BT" w:cs="Futura Lt BT"/>
          <w:i/>
          <w:iCs/>
        </w:rPr>
        <w:t>nd individual personality traits”.</w:t>
      </w:r>
      <w:r>
        <w:rPr>
          <w:rStyle w:val="dnA"/>
          <w:rFonts w:ascii="Futura Lt BT" w:eastAsia="Futura Lt BT" w:hAnsi="Futura Lt BT" w:cs="Futura Lt BT"/>
          <w:vertAlign w:val="superscript"/>
        </w:rPr>
        <w:footnoteReference w:id="11"/>
      </w:r>
      <w:r>
        <w:rPr>
          <w:rStyle w:val="dnA"/>
          <w:rFonts w:ascii="Futura Lt BT" w:eastAsia="Futura Lt BT" w:hAnsi="Futura Lt BT" w:cs="Futura Lt BT"/>
        </w:rPr>
        <w:t xml:space="preserve"> Reduced activity and stimulation impact negatively on physical and psychological development, especially when imposed from a young age or/and for extended periods of time.</w:t>
      </w:r>
      <w:r>
        <w:rPr>
          <w:rStyle w:val="dnA"/>
          <w:rFonts w:ascii="Futura Lt BT" w:eastAsia="Futura Lt BT" w:hAnsi="Futura Lt BT" w:cs="Futura Lt BT"/>
          <w:vertAlign w:val="superscript"/>
        </w:rPr>
        <w:footnoteReference w:id="12"/>
      </w:r>
      <w:r>
        <w:rPr>
          <w:rStyle w:val="dnA"/>
          <w:rFonts w:ascii="Futura Lt BT" w:eastAsia="Futura Lt BT" w:hAnsi="Futura Lt BT" w:cs="Futura Lt BT"/>
        </w:rPr>
        <w:t xml:space="preserve"> “</w:t>
      </w:r>
      <w:proofErr w:type="spellStart"/>
      <w:r>
        <w:rPr>
          <w:rStyle w:val="dnA"/>
          <w:rFonts w:ascii="Futura Lt BT" w:eastAsia="Futura Lt BT" w:hAnsi="Futura Lt BT" w:cs="Futura Lt BT"/>
          <w:i/>
          <w:iCs/>
        </w:rPr>
        <w:t>Institutionalised</w:t>
      </w:r>
      <w:proofErr w:type="spellEnd"/>
      <w:r>
        <w:rPr>
          <w:rStyle w:val="dnA"/>
          <w:rFonts w:ascii="Futura Lt BT" w:eastAsia="Futura Lt BT" w:hAnsi="Futura Lt BT" w:cs="Futura Lt BT"/>
          <w:i/>
          <w:iCs/>
        </w:rPr>
        <w:t xml:space="preserve"> living often means that residents are forced to sleep as a grou</w:t>
      </w:r>
      <w:r>
        <w:rPr>
          <w:rStyle w:val="dnA"/>
          <w:rFonts w:ascii="Futura Lt BT" w:eastAsia="Futura Lt BT" w:hAnsi="Futura Lt BT" w:cs="Futura Lt BT"/>
          <w:i/>
          <w:iCs/>
        </w:rPr>
        <w:t>p, eat as a group, wash as a group, spend their day as a group and – to the extent that employment is possible in an institution – work as a group. There is no room for individual autonomy […] and behavior diverging from the norm is punished.</w:t>
      </w:r>
      <w:r>
        <w:rPr>
          <w:rStyle w:val="dnA"/>
          <w:rFonts w:ascii="Futura Lt BT" w:eastAsia="Futura Lt BT" w:hAnsi="Futura Lt BT" w:cs="Futura Lt BT"/>
        </w:rPr>
        <w:t>”</w:t>
      </w:r>
      <w:r>
        <w:rPr>
          <w:rStyle w:val="dnA"/>
          <w:rFonts w:ascii="Futura Lt BT" w:eastAsia="Futura Lt BT" w:hAnsi="Futura Lt BT" w:cs="Futura Lt BT"/>
          <w:vertAlign w:val="superscript"/>
        </w:rPr>
        <w:footnoteReference w:id="13"/>
      </w:r>
      <w:r>
        <w:rPr>
          <w:rStyle w:val="dnA"/>
          <w:rFonts w:ascii="Futura Lt BT" w:eastAsia="Futura Lt BT" w:hAnsi="Futura Lt BT" w:cs="Futura Lt BT"/>
        </w:rPr>
        <w:t xml:space="preserve"> </w:t>
      </w:r>
    </w:p>
    <w:p w:rsidR="00A244B0" w:rsidRDefault="00A244B0">
      <w:pPr>
        <w:pStyle w:val="NoSpacing"/>
        <w:suppressAutoHyphens/>
        <w:jc w:val="both"/>
        <w:rPr>
          <w:rFonts w:ascii="Futura Lt BT" w:eastAsia="Futura Lt BT" w:hAnsi="Futura Lt BT" w:cs="Futura Lt BT"/>
        </w:rPr>
      </w:pPr>
    </w:p>
    <w:p w:rsidR="00A244B0" w:rsidRDefault="00271384">
      <w:pPr>
        <w:pStyle w:val="NoSpacing"/>
        <w:suppressAutoHyphens/>
        <w:jc w:val="both"/>
        <w:rPr>
          <w:rStyle w:val="dnA"/>
          <w:rFonts w:ascii="Futura Lt BT" w:eastAsia="Futura Lt BT" w:hAnsi="Futura Lt BT" w:cs="Futura Lt BT"/>
        </w:rPr>
      </w:pPr>
      <w:r>
        <w:rPr>
          <w:rStyle w:val="dnA"/>
          <w:rFonts w:ascii="Futura Lt BT" w:eastAsia="Futura Lt BT" w:hAnsi="Futura Lt BT" w:cs="Futura Lt BT"/>
        </w:rPr>
        <w:t xml:space="preserve">The main </w:t>
      </w:r>
      <w:r>
        <w:rPr>
          <w:rStyle w:val="dnA"/>
          <w:rFonts w:ascii="Futura Lt BT" w:eastAsia="Futura Lt BT" w:hAnsi="Futura Lt BT" w:cs="Futura Lt BT"/>
        </w:rPr>
        <w:t xml:space="preserve">reason for long-term residential </w:t>
      </w:r>
      <w:proofErr w:type="spellStart"/>
      <w:r>
        <w:rPr>
          <w:rStyle w:val="dnA"/>
          <w:rFonts w:ascii="Futura Lt BT" w:eastAsia="Futura Lt BT" w:hAnsi="Futura Lt BT" w:cs="Futura Lt BT"/>
        </w:rPr>
        <w:t>institutionalisation</w:t>
      </w:r>
      <w:proofErr w:type="spellEnd"/>
      <w:r>
        <w:rPr>
          <w:rStyle w:val="dnA"/>
          <w:rFonts w:ascii="Futura Lt BT" w:eastAsia="Futura Lt BT" w:hAnsi="Futura Lt BT" w:cs="Futura Lt BT"/>
        </w:rPr>
        <w:t xml:space="preserve"> of women and girls with disabilities in the Czech Republic remains a chronic lack of community-based support and services. Other research has shown that women with disabilities in institutions suffer di</w:t>
      </w:r>
      <w:r>
        <w:rPr>
          <w:rStyle w:val="dnA"/>
          <w:rFonts w:ascii="Futura Lt BT" w:eastAsia="Futura Lt BT" w:hAnsi="Futura Lt BT" w:cs="Futura Lt BT"/>
        </w:rPr>
        <w:t>sproportionate and specific forms of violence. For example, a recent Human Rights Watch report explained that one of the defining features of institutionalization is a lack of privacy which is “</w:t>
      </w:r>
      <w:r>
        <w:rPr>
          <w:rStyle w:val="dnA"/>
          <w:rFonts w:ascii="Futura Lt BT" w:eastAsia="Futura Lt BT" w:hAnsi="Futura Lt BT" w:cs="Futura Lt BT"/>
          <w:i/>
          <w:iCs/>
        </w:rPr>
        <w:t>especially detrimental to women and children with disabilities</w:t>
      </w:r>
      <w:r>
        <w:rPr>
          <w:rStyle w:val="dnA"/>
          <w:rFonts w:ascii="Futura Lt BT" w:eastAsia="Futura Lt BT" w:hAnsi="Futura Lt BT" w:cs="Futura Lt BT"/>
          <w:i/>
          <w:iCs/>
        </w:rPr>
        <w:t xml:space="preserve"> as it is strongly related to poor mental health, poor social relationships, and poor child care</w:t>
      </w:r>
      <w:r>
        <w:rPr>
          <w:rStyle w:val="dnA"/>
          <w:rFonts w:ascii="Futura Lt BT" w:eastAsia="Futura Lt BT" w:hAnsi="Futura Lt BT" w:cs="Futura Lt BT"/>
        </w:rPr>
        <w:t>.”</w:t>
      </w:r>
      <w:r>
        <w:rPr>
          <w:rStyle w:val="dnA"/>
          <w:rFonts w:ascii="Futura Lt BT" w:eastAsia="Futura Lt BT" w:hAnsi="Futura Lt BT" w:cs="Futura Lt BT"/>
          <w:vertAlign w:val="superscript"/>
        </w:rPr>
        <w:footnoteReference w:id="14"/>
      </w:r>
      <w:r>
        <w:rPr>
          <w:rStyle w:val="dnA"/>
          <w:rFonts w:ascii="Futura Lt BT" w:eastAsia="Futura Lt BT" w:hAnsi="Futura Lt BT" w:cs="Futura Lt BT"/>
        </w:rPr>
        <w:t xml:space="preserve"> We also know from research of the European Parliament that 80% of women with disabilities in institutions are exposed to violence from the people around the</w:t>
      </w:r>
      <w:r>
        <w:rPr>
          <w:rStyle w:val="dnA"/>
          <w:rFonts w:ascii="Futura Lt BT" w:eastAsia="Futura Lt BT" w:hAnsi="Futura Lt BT" w:cs="Futura Lt BT"/>
        </w:rPr>
        <w:t>m.</w:t>
      </w:r>
      <w:r>
        <w:rPr>
          <w:rStyle w:val="dnA"/>
          <w:rFonts w:ascii="Futura Lt BT" w:eastAsia="Futura Lt BT" w:hAnsi="Futura Lt BT" w:cs="Futura Lt BT"/>
          <w:vertAlign w:val="superscript"/>
        </w:rPr>
        <w:footnoteReference w:id="15"/>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Further it has been noted that “</w:t>
      </w:r>
      <w:r>
        <w:rPr>
          <w:rStyle w:val="dnA"/>
          <w:rFonts w:ascii="Futura Lt BT" w:eastAsia="Futura Lt BT" w:hAnsi="Futura Lt BT" w:cs="Futura Lt BT"/>
          <w:i/>
          <w:iCs/>
          <w:sz w:val="24"/>
          <w:szCs w:val="24"/>
        </w:rPr>
        <w:t>older women experience disability more frequently … are at particularly high risk of violence</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16"/>
      </w:r>
      <w:r>
        <w:rPr>
          <w:rStyle w:val="dnA"/>
          <w:rFonts w:ascii="Futura Lt BT" w:eastAsia="Futura Lt BT" w:hAnsi="Futura Lt BT" w:cs="Futura Lt BT"/>
          <w:sz w:val="24"/>
          <w:szCs w:val="24"/>
        </w:rPr>
        <w:t xml:space="preserve"> When forced, </w:t>
      </w:r>
      <w:proofErr w:type="spellStart"/>
      <w:r>
        <w:rPr>
          <w:rStyle w:val="dnA"/>
          <w:rFonts w:ascii="Futura Lt BT" w:eastAsia="Futura Lt BT" w:hAnsi="Futura Lt BT" w:cs="Futura Lt BT"/>
          <w:sz w:val="24"/>
          <w:szCs w:val="24"/>
        </w:rPr>
        <w:t>institutionalisation</w:t>
      </w:r>
      <w:proofErr w:type="spellEnd"/>
      <w:r>
        <w:rPr>
          <w:rStyle w:val="dnA"/>
          <w:rFonts w:ascii="Futura Lt BT" w:eastAsia="Futura Lt BT" w:hAnsi="Futura Lt BT" w:cs="Futura Lt BT"/>
          <w:sz w:val="24"/>
          <w:szCs w:val="24"/>
        </w:rPr>
        <w:t xml:space="preserve"> “</w:t>
      </w:r>
      <w:r>
        <w:rPr>
          <w:rStyle w:val="dnA"/>
          <w:rFonts w:ascii="Futura Lt BT" w:eastAsia="Futura Lt BT" w:hAnsi="Futura Lt BT" w:cs="Futura Lt BT"/>
          <w:i/>
          <w:iCs/>
          <w:sz w:val="24"/>
          <w:szCs w:val="24"/>
        </w:rPr>
        <w:t>itself constitutes a form of violence</w:t>
      </w:r>
      <w:r>
        <w:rPr>
          <w:rStyle w:val="dnA"/>
          <w:rFonts w:ascii="Futura Lt BT" w:eastAsia="Futura Lt BT" w:hAnsi="Futura Lt BT" w:cs="Futura Lt BT"/>
          <w:sz w:val="24"/>
          <w:szCs w:val="24"/>
        </w:rPr>
        <w:t>”. Moreover, inside these institutions not only “</w:t>
      </w:r>
      <w:r>
        <w:rPr>
          <w:rStyle w:val="dnA"/>
          <w:rFonts w:ascii="Futura Lt BT" w:eastAsia="Futura Lt BT" w:hAnsi="Futura Lt BT" w:cs="Futura Lt BT"/>
          <w:i/>
          <w:iCs/>
          <w:sz w:val="24"/>
          <w:szCs w:val="24"/>
        </w:rPr>
        <w:t>w</w:t>
      </w:r>
      <w:r>
        <w:rPr>
          <w:rStyle w:val="dnA"/>
          <w:rFonts w:ascii="Futura Lt BT" w:eastAsia="Futura Lt BT" w:hAnsi="Futura Lt BT" w:cs="Futura Lt BT"/>
          <w:i/>
          <w:iCs/>
          <w:sz w:val="24"/>
          <w:szCs w:val="24"/>
        </w:rPr>
        <w:t xml:space="preserve">omen with disabilities”, </w:t>
      </w:r>
      <w:r>
        <w:rPr>
          <w:rStyle w:val="dnA"/>
          <w:rFonts w:ascii="Futura Lt BT" w:eastAsia="Futura Lt BT" w:hAnsi="Futura Lt BT" w:cs="Futura Lt BT"/>
          <w:sz w:val="24"/>
          <w:szCs w:val="24"/>
        </w:rPr>
        <w:t>but also “</w:t>
      </w:r>
      <w:r>
        <w:rPr>
          <w:rStyle w:val="dnA"/>
          <w:rFonts w:ascii="Futura Lt BT" w:eastAsia="Futura Lt BT" w:hAnsi="Futura Lt BT" w:cs="Futura Lt BT"/>
          <w:i/>
          <w:iCs/>
          <w:sz w:val="24"/>
          <w:szCs w:val="24"/>
        </w:rPr>
        <w:t>older women, or older women with disabilities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17"/>
      </w:r>
      <w:r>
        <w:rPr>
          <w:rStyle w:val="dnA"/>
          <w:rFonts w:ascii="Futura Lt BT" w:eastAsia="Futura Lt BT" w:hAnsi="Futura Lt BT" w:cs="Futura Lt BT"/>
          <w:i/>
          <w:iCs/>
          <w:sz w:val="24"/>
          <w:szCs w:val="24"/>
        </w:rPr>
        <w:t xml:space="preserve"> </w:t>
      </w:r>
      <w:r>
        <w:rPr>
          <w:rStyle w:val="dnA"/>
          <w:rFonts w:ascii="Futura Lt BT" w:eastAsia="Futura Lt BT" w:hAnsi="Futura Lt BT" w:cs="Futura Lt BT"/>
          <w:sz w:val="24"/>
          <w:szCs w:val="24"/>
        </w:rPr>
        <w:t>are subjected to</w:t>
      </w:r>
      <w:r>
        <w:rPr>
          <w:rStyle w:val="dnA"/>
          <w:rFonts w:ascii="Futura Lt BT" w:eastAsia="Futura Lt BT" w:hAnsi="Futura Lt BT" w:cs="Futura Lt BT"/>
          <w:i/>
          <w:iCs/>
          <w:sz w:val="24"/>
          <w:szCs w:val="24"/>
        </w:rPr>
        <w:t xml:space="preserve"> “numerous forms of violence, including the forced intake of psychotropic drugs or other forced psychiatric treatment</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18"/>
      </w:r>
      <w:r>
        <w:rPr>
          <w:rStyle w:val="dnA"/>
          <w:rFonts w:ascii="Futura Lt BT" w:eastAsia="Futura Lt BT" w:hAnsi="Futura Lt BT" w:cs="Futura Lt BT"/>
          <w:sz w:val="24"/>
          <w:szCs w:val="24"/>
        </w:rPr>
        <w:t xml:space="preserve">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rPr>
        <w:t xml:space="preserve">To prevent </w:t>
      </w:r>
      <w:proofErr w:type="spellStart"/>
      <w:r>
        <w:rPr>
          <w:rStyle w:val="dnA"/>
          <w:rFonts w:ascii="Futura Lt BT" w:eastAsia="Futura Lt BT" w:hAnsi="Futura Lt BT" w:cs="Futura Lt BT"/>
        </w:rPr>
        <w:t>institutionalisation</w:t>
      </w:r>
      <w:proofErr w:type="spellEnd"/>
      <w:r>
        <w:rPr>
          <w:rStyle w:val="dnA"/>
          <w:rFonts w:ascii="Futura Lt BT" w:eastAsia="Futura Lt BT" w:hAnsi="Futura Lt BT" w:cs="Futura Lt BT"/>
        </w:rPr>
        <w:t xml:space="preserve"> </w:t>
      </w:r>
      <w:r>
        <w:rPr>
          <w:rStyle w:val="dnA"/>
          <w:rFonts w:ascii="Futura Lt BT" w:eastAsia="Futura Lt BT" w:hAnsi="Futura Lt BT" w:cs="Futura Lt BT"/>
        </w:rPr>
        <w:t>and consequently violence against women, states are under obligation to ensure available and accessible community based services.</w:t>
      </w:r>
      <w:r>
        <w:rPr>
          <w:rStyle w:val="dnA"/>
          <w:rFonts w:ascii="Futura Lt BT" w:eastAsia="Futura Lt BT" w:hAnsi="Futura Lt BT" w:cs="Futura Lt BT"/>
          <w:vertAlign w:val="superscript"/>
        </w:rPr>
        <w:footnoteReference w:id="19"/>
      </w:r>
      <w:r>
        <w:rPr>
          <w:rStyle w:val="dnA"/>
          <w:rFonts w:ascii="Futura Lt BT" w:eastAsia="Futura Lt BT" w:hAnsi="Futura Lt BT" w:cs="Futura Lt BT"/>
        </w:rPr>
        <w:t xml:space="preserve"> The CEDAW Committee in this respect underlined that older women have a right to “</w:t>
      </w:r>
      <w:r>
        <w:rPr>
          <w:rStyle w:val="dnA"/>
          <w:rFonts w:ascii="Futura Lt BT" w:eastAsia="Futura Lt BT" w:hAnsi="Futura Lt BT" w:cs="Futura Lt BT"/>
          <w:i/>
          <w:iCs/>
        </w:rPr>
        <w:t>affordable and accessible … long term health</w:t>
      </w:r>
      <w:r>
        <w:rPr>
          <w:rStyle w:val="dnA"/>
          <w:rFonts w:ascii="Futura Lt BT" w:eastAsia="Futura Lt BT" w:hAnsi="Futura Lt BT" w:cs="Futura Lt BT"/>
          <w:i/>
          <w:iCs/>
        </w:rPr>
        <w:t xml:space="preserve"> and social care, including care that allows for independent living, and palliative care</w:t>
      </w:r>
      <w:r>
        <w:rPr>
          <w:rStyle w:val="dnA"/>
          <w:rFonts w:ascii="Futura Lt BT" w:eastAsia="Futura Lt BT" w:hAnsi="Futura Lt BT" w:cs="Futura Lt BT"/>
        </w:rPr>
        <w:t xml:space="preserve">.”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rPr>
      </w:pPr>
      <w:r>
        <w:rPr>
          <w:rStyle w:val="dnA"/>
          <w:rFonts w:ascii="Futura Lt BT" w:eastAsia="Futura Lt BT" w:hAnsi="Futura Lt BT" w:cs="Futura Lt BT"/>
          <w:sz w:val="24"/>
          <w:szCs w:val="24"/>
        </w:rPr>
        <w:t xml:space="preserve">However, in the Czech Republic the </w:t>
      </w:r>
      <w:proofErr w:type="spellStart"/>
      <w:r>
        <w:rPr>
          <w:rStyle w:val="dnA"/>
          <w:rFonts w:ascii="Futura Lt BT" w:eastAsia="Futura Lt BT" w:hAnsi="Futura Lt BT" w:cs="Futura Lt BT"/>
          <w:sz w:val="24"/>
          <w:szCs w:val="24"/>
        </w:rPr>
        <w:t>deinstitutionalisation</w:t>
      </w:r>
      <w:proofErr w:type="spellEnd"/>
      <w:r>
        <w:rPr>
          <w:rStyle w:val="dnA"/>
          <w:rFonts w:ascii="Futura Lt BT" w:eastAsia="Futura Lt BT" w:hAnsi="Futura Lt BT" w:cs="Futura Lt BT"/>
          <w:sz w:val="24"/>
          <w:szCs w:val="24"/>
        </w:rPr>
        <w:t xml:space="preserve"> process has been slow and problematic. The </w:t>
      </w:r>
      <w:proofErr w:type="spellStart"/>
      <w:r>
        <w:rPr>
          <w:rStyle w:val="dnA"/>
          <w:rFonts w:ascii="Futura Lt BT" w:eastAsia="Futura Lt BT" w:hAnsi="Futura Lt BT" w:cs="Futura Lt BT"/>
          <w:sz w:val="24"/>
          <w:szCs w:val="24"/>
        </w:rPr>
        <w:t>Govermenet</w:t>
      </w:r>
      <w:proofErr w:type="spellEnd"/>
      <w:r>
        <w:rPr>
          <w:rStyle w:val="dnA"/>
          <w:rFonts w:ascii="Futura Lt BT" w:eastAsia="Futura Lt BT" w:hAnsi="Futura Lt BT" w:cs="Futura Lt BT"/>
          <w:sz w:val="24"/>
          <w:szCs w:val="24"/>
        </w:rPr>
        <w:t xml:space="preserve"> was urged by the </w:t>
      </w:r>
      <w:r>
        <w:rPr>
          <w:rStyle w:val="dnA"/>
          <w:rFonts w:ascii="Futura Lt BT" w:eastAsia="Futura Lt BT" w:hAnsi="Futura Lt BT" w:cs="Futura Lt BT"/>
          <w:sz w:val="24"/>
          <w:szCs w:val="24"/>
        </w:rPr>
        <w:t>CRPD</w:t>
      </w:r>
      <w:r>
        <w:rPr>
          <w:rStyle w:val="dnA"/>
          <w:rFonts w:ascii="Futura Lt BT" w:eastAsia="Futura Lt BT" w:hAnsi="Futura Lt BT" w:cs="Futura Lt BT"/>
          <w:sz w:val="24"/>
          <w:szCs w:val="24"/>
        </w:rPr>
        <w:t xml:space="preserve"> Committee</w:t>
      </w:r>
      <w:r>
        <w:rPr>
          <w:rStyle w:val="dnA"/>
          <w:rFonts w:ascii="Futura Lt BT" w:eastAsia="Futura Lt BT" w:hAnsi="Futura Lt BT" w:cs="Futura Lt BT"/>
          <w:sz w:val="24"/>
          <w:szCs w:val="24"/>
        </w:rPr>
        <w:t xml:space="preserve"> </w:t>
      </w:r>
      <w:r>
        <w:rPr>
          <w:rStyle w:val="dnA"/>
          <w:rFonts w:ascii="Futura Lt BT" w:eastAsia="Futura Lt BT" w:hAnsi="Futura Lt BT" w:cs="Futura Lt BT"/>
          <w:sz w:val="24"/>
          <w:szCs w:val="24"/>
        </w:rPr>
        <w:t>“</w:t>
      </w:r>
      <w:r>
        <w:rPr>
          <w:rStyle w:val="dnA"/>
          <w:rFonts w:ascii="Futura Lt BT" w:eastAsia="Futura Lt BT" w:hAnsi="Futura Lt BT" w:cs="Futura Lt BT"/>
          <w:i/>
          <w:iCs/>
          <w:sz w:val="24"/>
          <w:szCs w:val="24"/>
        </w:rPr>
        <w:t>to step up the pro</w:t>
      </w:r>
      <w:r>
        <w:rPr>
          <w:rStyle w:val="dnA"/>
          <w:rFonts w:ascii="Futura Lt BT" w:eastAsia="Futura Lt BT" w:hAnsi="Futura Lt BT" w:cs="Futura Lt BT"/>
          <w:i/>
          <w:iCs/>
          <w:sz w:val="24"/>
          <w:szCs w:val="24"/>
        </w:rPr>
        <w:t>cess of deinstitutionalization and to allocate sufficient resources for development of support services in local communities that would enable all persons with disabilities, regardless of their … age, to choose freely with whom, where and under which livin</w:t>
      </w:r>
      <w:r>
        <w:rPr>
          <w:rStyle w:val="dnA"/>
          <w:rFonts w:ascii="Futura Lt BT" w:eastAsia="Futura Lt BT" w:hAnsi="Futura Lt BT" w:cs="Futura Lt BT"/>
          <w:i/>
          <w:iCs/>
          <w:sz w:val="24"/>
          <w:szCs w:val="24"/>
        </w:rPr>
        <w:t>g arrangements they will live”</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20"/>
      </w:r>
      <w:r>
        <w:rPr>
          <w:rStyle w:val="dnA"/>
          <w:rFonts w:ascii="Futura Lt BT" w:eastAsia="Futura Lt BT" w:hAnsi="Futura Lt BT" w:cs="Futura Lt BT"/>
          <w:sz w:val="24"/>
          <w:szCs w:val="24"/>
        </w:rPr>
        <w:t xml:space="preserve"> Thus far, the Government has failed to take any concrete steps. The CRPD Committee expressed its concern in relation to “</w:t>
      </w:r>
      <w:r>
        <w:rPr>
          <w:rStyle w:val="dnA"/>
          <w:rFonts w:ascii="Futura Lt BT" w:eastAsia="Futura Lt BT" w:hAnsi="Futura Lt BT" w:cs="Futura Lt BT"/>
          <w:i/>
          <w:iCs/>
          <w:sz w:val="24"/>
          <w:szCs w:val="24"/>
        </w:rPr>
        <w:t>lack of plans to provide support services in local communities for older persons with disabilities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21"/>
      </w:r>
      <w:r>
        <w:rPr>
          <w:rStyle w:val="dnA"/>
          <w:rFonts w:ascii="Futura Lt BT" w:eastAsia="Futura Lt BT" w:hAnsi="Futura Lt BT" w:cs="Futura Lt BT"/>
          <w:sz w:val="24"/>
          <w:szCs w:val="24"/>
        </w:rPr>
        <w:t xml:space="preserve"> </w:t>
      </w:r>
      <w:r>
        <w:rPr>
          <w:rStyle w:val="dnA"/>
          <w:rFonts w:ascii="Futura Lt BT" w:eastAsia="Futura Lt BT" w:hAnsi="Futura Lt BT" w:cs="Futura Lt BT"/>
          <w:sz w:val="24"/>
          <w:szCs w:val="24"/>
        </w:rPr>
        <w:t>The Czech Government views older people, including older women as outside of the ambit of their obligations to ensure “</w:t>
      </w:r>
      <w:r>
        <w:rPr>
          <w:rStyle w:val="dnA"/>
          <w:rFonts w:ascii="Futura Lt BT" w:eastAsia="Futura Lt BT" w:hAnsi="Futura Lt BT" w:cs="Futura Lt BT"/>
          <w:i/>
          <w:iCs/>
          <w:sz w:val="24"/>
          <w:szCs w:val="24"/>
        </w:rPr>
        <w:t>accessible long term health and social care … that allows for independent living”.</w:t>
      </w:r>
      <w:r>
        <w:rPr>
          <w:rStyle w:val="dnA"/>
          <w:rFonts w:ascii="Futura Lt BT" w:eastAsia="Futura Lt BT" w:hAnsi="Futura Lt BT" w:cs="Futura Lt BT"/>
          <w:sz w:val="24"/>
          <w:szCs w:val="24"/>
          <w:vertAlign w:val="superscript"/>
        </w:rPr>
        <w:footnoteReference w:id="22"/>
      </w:r>
      <w:r>
        <w:rPr>
          <w:rStyle w:val="dnA"/>
          <w:rFonts w:ascii="Futura Lt BT" w:eastAsia="Futura Lt BT" w:hAnsi="Futura Lt BT" w:cs="Futura Lt BT"/>
          <w:sz w:val="24"/>
          <w:szCs w:val="24"/>
        </w:rPr>
        <w:t xml:space="preserve"> In fact, the National Action Plan for Support of Posi</w:t>
      </w:r>
      <w:r>
        <w:rPr>
          <w:rStyle w:val="dnA"/>
          <w:rFonts w:ascii="Futura Lt BT" w:eastAsia="Futura Lt BT" w:hAnsi="Futura Lt BT" w:cs="Futura Lt BT"/>
          <w:sz w:val="24"/>
          <w:szCs w:val="24"/>
        </w:rPr>
        <w:t xml:space="preserve">tive Ageing for years 2013-2017 does not even mention any process of </w:t>
      </w:r>
      <w:proofErr w:type="spellStart"/>
      <w:r>
        <w:rPr>
          <w:rStyle w:val="dnA"/>
          <w:rFonts w:ascii="Futura Lt BT" w:eastAsia="Futura Lt BT" w:hAnsi="Futura Lt BT" w:cs="Futura Lt BT"/>
          <w:sz w:val="24"/>
          <w:szCs w:val="24"/>
        </w:rPr>
        <w:t>deinstitutionalisation</w:t>
      </w:r>
      <w:proofErr w:type="spellEnd"/>
      <w:r>
        <w:rPr>
          <w:rStyle w:val="dnA"/>
          <w:rFonts w:ascii="Futura Lt BT" w:eastAsia="Futura Lt BT" w:hAnsi="Futura Lt BT" w:cs="Futura Lt BT"/>
          <w:sz w:val="24"/>
          <w:szCs w:val="24"/>
          <w:vertAlign w:val="superscript"/>
        </w:rPr>
        <w:footnoteReference w:id="23"/>
      </w:r>
      <w:r>
        <w:rPr>
          <w:rStyle w:val="dnA"/>
          <w:rFonts w:ascii="Futura Lt BT" w:eastAsia="Futura Lt BT" w:hAnsi="Futura Lt BT" w:cs="Futura Lt BT"/>
          <w:sz w:val="24"/>
          <w:szCs w:val="24"/>
        </w:rPr>
        <w:t xml:space="preserve"> and the Government takes the position that such processes could be contrary to the fiscal interests of the state.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i/>
          <w:iCs/>
          <w:sz w:val="24"/>
          <w:szCs w:val="24"/>
        </w:rPr>
        <w:t>Proposed recommendations:</w:t>
      </w:r>
      <w:r>
        <w:rPr>
          <w:rStyle w:val="dnA"/>
          <w:rFonts w:ascii="Futura Lt BT" w:eastAsia="Futura Lt BT" w:hAnsi="Futura Lt BT" w:cs="Futura Lt BT"/>
          <w:b/>
          <w:bCs/>
          <w:sz w:val="24"/>
          <w:szCs w:val="24"/>
        </w:rPr>
        <w:t xml:space="preserve"> </w:t>
      </w:r>
    </w:p>
    <w:p w:rsidR="00A244B0" w:rsidRDefault="00A244B0">
      <w:pPr>
        <w:pStyle w:val="NoSpacing"/>
        <w:suppressAutoHyphens/>
        <w:jc w:val="both"/>
        <w:rPr>
          <w:rFonts w:ascii="Futura Lt BT" w:eastAsia="Futura Lt BT" w:hAnsi="Futura Lt BT" w:cs="Futura Lt BT"/>
          <w:b/>
          <w:bCs/>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 xml:space="preserve">Develop </w:t>
      </w:r>
      <w:r>
        <w:rPr>
          <w:rStyle w:val="dnA"/>
          <w:rFonts w:ascii="Futura Lt BT" w:eastAsia="Futura Lt BT" w:hAnsi="Futura Lt BT" w:cs="Futura Lt BT"/>
          <w:b/>
          <w:bCs/>
          <w:sz w:val="24"/>
          <w:szCs w:val="24"/>
        </w:rPr>
        <w:t>prevention, monitoring and sanctioning policies to address violence against women with disabilities, including for older women with disabilities and those in institutions, and ensure access to justice for all women.</w:t>
      </w:r>
    </w:p>
    <w:p w:rsidR="00A244B0" w:rsidRDefault="00A244B0">
      <w:pPr>
        <w:pStyle w:val="NoSpacing"/>
        <w:suppressAutoHyphens/>
        <w:jc w:val="both"/>
        <w:rPr>
          <w:rFonts w:ascii="Futura Lt BT" w:eastAsia="Futura Lt BT" w:hAnsi="Futura Lt BT" w:cs="Futura Lt BT"/>
          <w:b/>
          <w:bCs/>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 xml:space="preserve">Document and research the </w:t>
      </w:r>
      <w:proofErr w:type="spellStart"/>
      <w:r>
        <w:rPr>
          <w:rStyle w:val="dnA"/>
          <w:rFonts w:ascii="Futura Lt BT" w:eastAsia="Futura Lt BT" w:hAnsi="Futura Lt BT" w:cs="Futura Lt BT"/>
          <w:b/>
          <w:bCs/>
          <w:sz w:val="24"/>
          <w:szCs w:val="24"/>
        </w:rPr>
        <w:t>sterilisation</w:t>
      </w:r>
      <w:proofErr w:type="spellEnd"/>
      <w:r>
        <w:rPr>
          <w:rStyle w:val="dnA"/>
          <w:rFonts w:ascii="Futura Lt BT" w:eastAsia="Futura Lt BT" w:hAnsi="Futura Lt BT" w:cs="Futura Lt BT"/>
          <w:b/>
          <w:bCs/>
          <w:sz w:val="24"/>
          <w:szCs w:val="24"/>
        </w:rPr>
        <w:t xml:space="preserve"> of women with disabilities, including historic and current practices, and ensure accountability for perpetrators, identification and redress for victims.</w:t>
      </w:r>
    </w:p>
    <w:p w:rsidR="00A244B0" w:rsidRDefault="00A244B0">
      <w:pPr>
        <w:pStyle w:val="NoSpacing"/>
        <w:suppressAutoHyphens/>
        <w:jc w:val="both"/>
        <w:rPr>
          <w:rFonts w:ascii="Futura Lt BT" w:eastAsia="Futura Lt BT" w:hAnsi="Futura Lt BT" w:cs="Futura Lt BT"/>
          <w:b/>
          <w:bCs/>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Undertake thematic research and monitoring on the gender dimension of human rights violations suffer</w:t>
      </w:r>
      <w:r>
        <w:rPr>
          <w:rStyle w:val="dnA"/>
          <w:rFonts w:ascii="Futura Lt BT" w:eastAsia="Futura Lt BT" w:hAnsi="Futura Lt BT" w:cs="Futura Lt BT"/>
          <w:b/>
          <w:bCs/>
          <w:sz w:val="24"/>
          <w:szCs w:val="24"/>
        </w:rPr>
        <w:t>ed by women with disabilities in institutions, and develop evidence-based policy responses.</w:t>
      </w:r>
    </w:p>
    <w:p w:rsidR="00A244B0" w:rsidRDefault="00A244B0">
      <w:pPr>
        <w:pStyle w:val="NoSpacing"/>
        <w:suppressAutoHyphens/>
        <w:jc w:val="both"/>
        <w:rPr>
          <w:rFonts w:ascii="Futura Lt BT" w:eastAsia="Futura Lt BT" w:hAnsi="Futura Lt BT" w:cs="Futura Lt BT"/>
          <w:b/>
          <w:bCs/>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 xml:space="preserve">Ensure continuing </w:t>
      </w:r>
      <w:proofErr w:type="spellStart"/>
      <w:r>
        <w:rPr>
          <w:rStyle w:val="dnA"/>
          <w:rFonts w:ascii="Futura Lt BT" w:eastAsia="Futura Lt BT" w:hAnsi="Futura Lt BT" w:cs="Futura Lt BT"/>
          <w:b/>
          <w:bCs/>
          <w:sz w:val="24"/>
          <w:szCs w:val="24"/>
        </w:rPr>
        <w:t>deinstitutionalisation</w:t>
      </w:r>
      <w:proofErr w:type="spellEnd"/>
      <w:r>
        <w:rPr>
          <w:rStyle w:val="dnA"/>
          <w:rFonts w:ascii="Futura Lt BT" w:eastAsia="Futura Lt BT" w:hAnsi="Futura Lt BT" w:cs="Futura Lt BT"/>
          <w:b/>
          <w:bCs/>
          <w:sz w:val="24"/>
          <w:szCs w:val="24"/>
        </w:rPr>
        <w:t xml:space="preserve"> of all social care institutions, including residential services for older people, especially older women, and allocate sufficient resources for the development of gender-sensitive support services in local communiti</w:t>
      </w:r>
      <w:r>
        <w:rPr>
          <w:rStyle w:val="dnA"/>
          <w:rFonts w:ascii="Futura Lt BT" w:eastAsia="Futura Lt BT" w:hAnsi="Futura Lt BT" w:cs="Futura Lt BT"/>
          <w:b/>
          <w:bCs/>
          <w:sz w:val="24"/>
          <w:szCs w:val="24"/>
        </w:rPr>
        <w:t xml:space="preserve">es including care that allows for independent living, and palliative care. </w:t>
      </w:r>
    </w:p>
    <w:p w:rsidR="00A244B0" w:rsidRDefault="00A244B0">
      <w:pPr>
        <w:pStyle w:val="NoSpacing"/>
        <w:suppressAutoHyphens/>
        <w:jc w:val="both"/>
        <w:rPr>
          <w:rFonts w:ascii="Futura Lt BT" w:eastAsia="Futura Lt BT" w:hAnsi="Futura Lt BT" w:cs="Futura Lt BT"/>
          <w:b/>
          <w:bCs/>
          <w:sz w:val="24"/>
          <w:szCs w:val="24"/>
        </w:rPr>
      </w:pPr>
    </w:p>
    <w:p w:rsidR="00A244B0" w:rsidRDefault="00271384">
      <w:pPr>
        <w:pStyle w:val="NoSpacing"/>
        <w:suppressAutoHyphens/>
        <w:jc w:val="both"/>
        <w:rPr>
          <w:rStyle w:val="dnA"/>
          <w:rFonts w:ascii="Futura Lt BT" w:eastAsia="Futura Lt BT" w:hAnsi="Futura Lt BT" w:cs="Futura Lt BT"/>
          <w:b/>
          <w:bCs/>
          <w:sz w:val="24"/>
          <w:szCs w:val="24"/>
        </w:rPr>
      </w:pPr>
      <w:r>
        <w:rPr>
          <w:rStyle w:val="dnA"/>
          <w:rFonts w:ascii="Futura Lt BT" w:eastAsia="Futura Lt BT" w:hAnsi="Futura Lt BT" w:cs="Futura Lt BT"/>
          <w:b/>
          <w:bCs/>
          <w:sz w:val="24"/>
          <w:szCs w:val="24"/>
        </w:rPr>
        <w:t>2. Inclusive education (Article 10)</w:t>
      </w:r>
    </w:p>
    <w:p w:rsidR="00A244B0" w:rsidRDefault="00A244B0">
      <w:pPr>
        <w:pStyle w:val="NoSpacing"/>
        <w:suppressAutoHyphens/>
        <w:jc w:val="both"/>
        <w:rPr>
          <w:rFonts w:ascii="Futura Lt BT" w:eastAsia="Futura Lt BT" w:hAnsi="Futura Lt BT" w:cs="Futura Lt BT"/>
          <w:b/>
          <w:bCs/>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That persons with disabilities, of both genders and all ages, have a right to education cannot now be disputed.  Unfortunately, neither can it</w:t>
      </w:r>
      <w:r>
        <w:rPr>
          <w:rStyle w:val="dnA"/>
          <w:rFonts w:ascii="Futura Lt BT" w:eastAsia="Futura Lt BT" w:hAnsi="Futura Lt BT" w:cs="Futura Lt BT"/>
          <w:sz w:val="24"/>
          <w:szCs w:val="24"/>
        </w:rPr>
        <w:t xml:space="preserve"> now be disputed that persons with disabilities, of both genders and all ages and in most parts of the world, suffer from a pervasive and disproportionate denial of this right.</w:t>
      </w:r>
      <w:r>
        <w:rPr>
          <w:rStyle w:val="dnA"/>
          <w:rFonts w:ascii="Futura Lt BT" w:eastAsia="Futura Lt BT" w:hAnsi="Futura Lt BT" w:cs="Futura Lt BT"/>
          <w:sz w:val="24"/>
          <w:szCs w:val="24"/>
          <w:vertAlign w:val="superscript"/>
        </w:rPr>
        <w:footnoteReference w:id="24"/>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In the Czech Republic there are registered 75,848 students with disabilities,</w:t>
      </w:r>
      <w:r>
        <w:rPr>
          <w:rStyle w:val="dnA"/>
          <w:rFonts w:ascii="Futura Lt BT" w:eastAsia="Futura Lt BT" w:hAnsi="Futura Lt BT" w:cs="Futura Lt BT"/>
          <w:sz w:val="24"/>
          <w:szCs w:val="24"/>
        </w:rPr>
        <w:t xml:space="preserve"> of which 29,995 were placed in special classes, and 45,853 were ‘individually integrated’.</w:t>
      </w:r>
      <w:r>
        <w:rPr>
          <w:rStyle w:val="dnA"/>
          <w:rFonts w:ascii="Futura Lt BT" w:eastAsia="Futura Lt BT" w:hAnsi="Futura Lt BT" w:cs="Futura Lt BT"/>
          <w:sz w:val="24"/>
          <w:szCs w:val="24"/>
          <w:vertAlign w:val="superscript"/>
        </w:rPr>
        <w:footnoteReference w:id="25"/>
      </w:r>
      <w:r>
        <w:rPr>
          <w:rStyle w:val="dnA"/>
          <w:rFonts w:ascii="Futura Lt BT" w:eastAsia="Futura Lt BT" w:hAnsi="Futura Lt BT" w:cs="Futura Lt BT"/>
          <w:sz w:val="24"/>
          <w:szCs w:val="24"/>
        </w:rPr>
        <w:t xml:space="preserve"> A very large number of children who are individually integrates are either placed in segregated classrooms in mainstream schools, or are placed in segregated schoo</w:t>
      </w:r>
      <w:r>
        <w:rPr>
          <w:rStyle w:val="dnA"/>
          <w:rFonts w:ascii="Futura Lt BT" w:eastAsia="Futura Lt BT" w:hAnsi="Futura Lt BT" w:cs="Futura Lt BT"/>
          <w:sz w:val="24"/>
          <w:szCs w:val="24"/>
        </w:rPr>
        <w:t>ls. This means a significant number of girls with disabilities are provided with education in segregated settings, constituting a violation of their right to education. There is also data suggesting that Romani children, including girls, are disproportiona</w:t>
      </w:r>
      <w:r>
        <w:rPr>
          <w:rStyle w:val="dnA"/>
          <w:rFonts w:ascii="Futura Lt BT" w:eastAsia="Futura Lt BT" w:hAnsi="Futura Lt BT" w:cs="Futura Lt BT"/>
          <w:sz w:val="24"/>
          <w:szCs w:val="24"/>
        </w:rPr>
        <w:t>tely affected by segregation in education.</w:t>
      </w:r>
      <w:r>
        <w:rPr>
          <w:rStyle w:val="dnA"/>
          <w:rFonts w:ascii="Futura Lt BT" w:eastAsia="Futura Lt BT" w:hAnsi="Futura Lt BT" w:cs="Futura Lt BT"/>
          <w:sz w:val="24"/>
          <w:szCs w:val="24"/>
          <w:vertAlign w:val="superscript"/>
        </w:rPr>
        <w:footnoteReference w:id="26"/>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International and regional human rights instruments, including Article 10 of CEDAW provides for the right to education, and it has been understood that “</w:t>
      </w:r>
      <w:r>
        <w:rPr>
          <w:rStyle w:val="dnA"/>
          <w:rFonts w:ascii="Futura Lt BT" w:eastAsia="Futura Lt BT" w:hAnsi="Futura Lt BT" w:cs="Futura Lt BT"/>
          <w:i/>
          <w:iCs/>
          <w:sz w:val="24"/>
          <w:szCs w:val="24"/>
        </w:rPr>
        <w:t>the right to education is in fact the right to inclusive e</w:t>
      </w:r>
      <w:r>
        <w:rPr>
          <w:rStyle w:val="dnA"/>
          <w:rFonts w:ascii="Futura Lt BT" w:eastAsia="Futura Lt BT" w:hAnsi="Futura Lt BT" w:cs="Futura Lt BT"/>
          <w:i/>
          <w:iCs/>
          <w:sz w:val="24"/>
          <w:szCs w:val="24"/>
        </w:rPr>
        <w:t>ducation</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27"/>
      </w:r>
      <w:r>
        <w:rPr>
          <w:rStyle w:val="dnA"/>
          <w:rFonts w:ascii="Futura Lt BT" w:eastAsia="Futura Lt BT" w:hAnsi="Futura Lt BT" w:cs="Futura Lt BT"/>
          <w:sz w:val="24"/>
          <w:szCs w:val="24"/>
        </w:rPr>
        <w:t xml:space="preserve"> Inclusion in education is a process that “</w:t>
      </w:r>
      <w:r>
        <w:rPr>
          <w:rStyle w:val="dnA"/>
          <w:rFonts w:ascii="Futura Lt BT" w:eastAsia="Futura Lt BT" w:hAnsi="Futura Lt BT" w:cs="Futura Lt BT"/>
          <w:i/>
          <w:iCs/>
          <w:sz w:val="24"/>
          <w:szCs w:val="24"/>
        </w:rPr>
        <w:t>recognizes: (a) the obligation to eliminate barriers that restrict or ban participation, and (b) the need to change culture, policy and practice of the mainstream schools to accommodate the needs of all</w:t>
      </w:r>
      <w:r>
        <w:rPr>
          <w:rStyle w:val="dnA"/>
          <w:rFonts w:ascii="Futura Lt BT" w:eastAsia="Futura Lt BT" w:hAnsi="Futura Lt BT" w:cs="Futura Lt BT"/>
          <w:i/>
          <w:iCs/>
          <w:sz w:val="24"/>
          <w:szCs w:val="24"/>
        </w:rPr>
        <w:t xml:space="preserve"> students, including those with impairments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28"/>
      </w:r>
      <w:r>
        <w:rPr>
          <w:rStyle w:val="dnA"/>
          <w:rFonts w:ascii="Futura Lt BT" w:eastAsia="Futura Lt BT" w:hAnsi="Futura Lt BT" w:cs="Futura Lt BT"/>
          <w:sz w:val="24"/>
          <w:szCs w:val="24"/>
        </w:rPr>
        <w:t xml:space="preserve"> Therefore no child should be provided education in a segregated setting, irrespective of their gender, ethnicity or disability.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Under CEDAW, the Czech Republic has an obligation</w:t>
      </w:r>
      <w:r>
        <w:rPr>
          <w:rStyle w:val="dnA"/>
          <w:rFonts w:ascii="Futura Lt BT" w:eastAsia="Futura Lt BT" w:hAnsi="Futura Lt BT" w:cs="Futura Lt BT"/>
          <w:i/>
          <w:iCs/>
          <w:sz w:val="24"/>
          <w:szCs w:val="24"/>
        </w:rPr>
        <w:t xml:space="preserve"> “to promote the equal rights </w:t>
      </w:r>
      <w:r>
        <w:rPr>
          <w:rStyle w:val="dnA"/>
          <w:rFonts w:ascii="Futura Lt BT" w:eastAsia="Futura Lt BT" w:hAnsi="Futura Lt BT" w:cs="Futura Lt BT"/>
          <w:i/>
          <w:iCs/>
          <w:sz w:val="24"/>
          <w:szCs w:val="24"/>
        </w:rPr>
        <w:t>of girls since girls are part of the larger community of women and are more vulnerable to discrimination in such areas as access to basic education …</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29"/>
      </w:r>
      <w:r>
        <w:rPr>
          <w:rStyle w:val="dnA"/>
          <w:rFonts w:ascii="Futura Lt BT" w:eastAsia="Futura Lt BT" w:hAnsi="Futura Lt BT" w:cs="Futura Lt BT"/>
          <w:sz w:val="24"/>
          <w:szCs w:val="24"/>
        </w:rPr>
        <w:t>, and especially girls and women with disabilities who “</w:t>
      </w:r>
      <w:r>
        <w:rPr>
          <w:rStyle w:val="dnA"/>
          <w:rFonts w:ascii="Futura Lt BT" w:eastAsia="Futura Lt BT" w:hAnsi="Futura Lt BT" w:cs="Futura Lt BT"/>
          <w:i/>
          <w:iCs/>
          <w:sz w:val="24"/>
          <w:szCs w:val="24"/>
        </w:rPr>
        <w:t>suffer from a double discrimination linked to the</w:t>
      </w:r>
      <w:r>
        <w:rPr>
          <w:rStyle w:val="dnA"/>
          <w:rFonts w:ascii="Futura Lt BT" w:eastAsia="Futura Lt BT" w:hAnsi="Futura Lt BT" w:cs="Futura Lt BT"/>
          <w:i/>
          <w:iCs/>
          <w:sz w:val="24"/>
          <w:szCs w:val="24"/>
        </w:rPr>
        <w:t>ir special living conditions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30"/>
      </w:r>
      <w:r>
        <w:rPr>
          <w:rStyle w:val="dnA"/>
          <w:rFonts w:ascii="Futura Lt BT" w:eastAsia="Futura Lt BT" w:hAnsi="Futura Lt BT" w:cs="Futura Lt BT"/>
          <w:sz w:val="24"/>
          <w:szCs w:val="24"/>
        </w:rPr>
        <w:t xml:space="preserve"> As the CEDAW Committee has observed, discrimination against women “</w:t>
      </w:r>
      <w:r>
        <w:rPr>
          <w:rStyle w:val="dnA"/>
          <w:rFonts w:ascii="Futura Lt BT" w:eastAsia="Futura Lt BT" w:hAnsi="Futura Lt BT" w:cs="Futura Lt BT"/>
          <w:i/>
          <w:iCs/>
          <w:sz w:val="24"/>
          <w:szCs w:val="24"/>
        </w:rPr>
        <w:t>can also occur through the failure of the state to take necessary legislative measures to ensure the full realization of women’s rights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31"/>
      </w:r>
      <w:r>
        <w:rPr>
          <w:rStyle w:val="dnA"/>
          <w:rFonts w:ascii="Futura Lt BT" w:eastAsia="Futura Lt BT" w:hAnsi="Futura Lt BT" w:cs="Futura Lt BT"/>
          <w:sz w:val="24"/>
          <w:szCs w:val="24"/>
        </w:rPr>
        <w:t>, including the righ</w:t>
      </w:r>
      <w:r>
        <w:rPr>
          <w:rStyle w:val="dnA"/>
          <w:rFonts w:ascii="Futura Lt BT" w:eastAsia="Futura Lt BT" w:hAnsi="Futura Lt BT" w:cs="Futura Lt BT"/>
          <w:sz w:val="24"/>
          <w:szCs w:val="24"/>
        </w:rPr>
        <w:t>t to education</w:t>
      </w:r>
      <w:r>
        <w:rPr>
          <w:rStyle w:val="dnA"/>
          <w:rFonts w:ascii="Futura Lt BT" w:eastAsia="Futura Lt BT" w:hAnsi="Futura Lt BT" w:cs="Futura Lt BT"/>
          <w:sz w:val="24"/>
          <w:szCs w:val="24"/>
          <w:vertAlign w:val="superscript"/>
        </w:rPr>
        <w:footnoteReference w:id="32"/>
      </w:r>
      <w:r>
        <w:rPr>
          <w:rStyle w:val="dnA"/>
          <w:rFonts w:ascii="Futura Lt BT" w:eastAsia="Futura Lt BT" w:hAnsi="Futura Lt BT" w:cs="Futura Lt BT"/>
          <w:sz w:val="24"/>
          <w:szCs w:val="24"/>
        </w:rPr>
        <w:t xml:space="preserve"> and, “</w:t>
      </w:r>
      <w:r>
        <w:rPr>
          <w:rStyle w:val="dnA"/>
          <w:rFonts w:ascii="Futura Lt BT" w:eastAsia="Futura Lt BT" w:hAnsi="Futura Lt BT" w:cs="Futura Lt BT"/>
          <w:i/>
          <w:iCs/>
          <w:sz w:val="24"/>
          <w:szCs w:val="24"/>
        </w:rPr>
        <w:t>the failure to adopt national policies aimed at achieving equality between women and men and the failure to enforce relevant laws.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33"/>
      </w:r>
      <w:r>
        <w:rPr>
          <w:rStyle w:val="dnA"/>
          <w:rFonts w:ascii="Futura Lt BT" w:eastAsia="Futura Lt BT" w:hAnsi="Futura Lt BT" w:cs="Futura Lt BT"/>
          <w:sz w:val="24"/>
          <w:szCs w:val="24"/>
        </w:rPr>
        <w:t xml:space="preserve"> The Special Rapporteur on the right to education explained that to achieve the full enjoyment of the </w:t>
      </w:r>
      <w:r>
        <w:rPr>
          <w:rStyle w:val="dnA"/>
          <w:rFonts w:ascii="Futura Lt BT" w:eastAsia="Futura Lt BT" w:hAnsi="Futura Lt BT" w:cs="Futura Lt BT"/>
          <w:sz w:val="24"/>
          <w:szCs w:val="24"/>
        </w:rPr>
        <w:t>right to inclusive education, legislative frameworks should at a minimum:</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(a) Recognize inclusive education as a right;</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(b) Identify minimum standards in relation to the right to education;</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(c) Identify minimum standards in relation to the underlying deter</w:t>
      </w:r>
      <w:r>
        <w:rPr>
          <w:rStyle w:val="dnA"/>
          <w:rFonts w:ascii="Futura Lt BT" w:eastAsia="Futura Lt BT" w:hAnsi="Futura Lt BT" w:cs="Futura Lt BT"/>
          <w:sz w:val="24"/>
          <w:szCs w:val="24"/>
        </w:rPr>
        <w:t>minants of the right to education;</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(d) Ensure a transition plan;</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(e) Identify duty-bearers and their responsibilities; </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(f) Provide resources; and</w:t>
      </w:r>
    </w:p>
    <w:p w:rsidR="00A244B0" w:rsidRDefault="00271384">
      <w:pPr>
        <w:pStyle w:val="NoSpacing"/>
        <w:suppressAutoHyphens/>
        <w:ind w:left="964" w:hanging="397"/>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(g) Establish monitoring and evaluation mechanisms.</w:t>
      </w:r>
      <w:r>
        <w:rPr>
          <w:rStyle w:val="dnA"/>
          <w:rFonts w:ascii="Futura Lt BT" w:eastAsia="Futura Lt BT" w:hAnsi="Futura Lt BT" w:cs="Futura Lt BT"/>
          <w:sz w:val="24"/>
          <w:szCs w:val="24"/>
          <w:vertAlign w:val="superscript"/>
        </w:rPr>
        <w:footnoteReference w:id="34"/>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i/>
          <w:iCs/>
          <w:sz w:val="24"/>
          <w:szCs w:val="24"/>
        </w:rPr>
      </w:pPr>
      <w:r>
        <w:rPr>
          <w:rStyle w:val="dnA"/>
          <w:rFonts w:ascii="Futura Lt BT" w:eastAsia="Futura Lt BT" w:hAnsi="Futura Lt BT" w:cs="Futura Lt BT"/>
          <w:sz w:val="24"/>
          <w:szCs w:val="24"/>
        </w:rPr>
        <w:t>Very recently, the CEDAW Committee recommended that Slo</w:t>
      </w:r>
      <w:r>
        <w:rPr>
          <w:rStyle w:val="dnA"/>
          <w:rFonts w:ascii="Futura Lt BT" w:eastAsia="Futura Lt BT" w:hAnsi="Futura Lt BT" w:cs="Futura Lt BT"/>
          <w:sz w:val="24"/>
          <w:szCs w:val="24"/>
        </w:rPr>
        <w:t>vakia “</w:t>
      </w:r>
      <w:r>
        <w:rPr>
          <w:rStyle w:val="dnA"/>
          <w:rFonts w:ascii="Futura Lt BT" w:eastAsia="Futura Lt BT" w:hAnsi="Futura Lt BT" w:cs="Futura Lt BT"/>
          <w:i/>
          <w:iCs/>
          <w:sz w:val="24"/>
          <w:szCs w:val="24"/>
        </w:rPr>
        <w:t>give priority to inclusive education of children with disabilities, including children with intellectual and psycho-social disabilities, by reviewing relevant legislation and policies to explicitly recognize inclusive education as a right of childre</w:t>
      </w:r>
      <w:r>
        <w:rPr>
          <w:rStyle w:val="dnA"/>
          <w:rFonts w:ascii="Futura Lt BT" w:eastAsia="Futura Lt BT" w:hAnsi="Futura Lt BT" w:cs="Futura Lt BT"/>
          <w:i/>
          <w:iCs/>
          <w:sz w:val="24"/>
          <w:szCs w:val="24"/>
        </w:rPr>
        <w:t>n with disabilities and allocate the necessary technical, human and financial resources to provide for reasonable accommodation for them to study in mainstream classes at mainstream schools.</w:t>
      </w:r>
      <w:r>
        <w:rPr>
          <w:rStyle w:val="dnA"/>
          <w:rFonts w:ascii="Futura Lt BT" w:eastAsia="Futura Lt BT" w:hAnsi="Futura Lt BT" w:cs="Futura Lt BT"/>
          <w:sz w:val="24"/>
          <w:szCs w:val="24"/>
        </w:rPr>
        <w:t>”</w:t>
      </w:r>
      <w:r>
        <w:rPr>
          <w:rStyle w:val="dnA"/>
          <w:rFonts w:ascii="Futura Lt BT" w:eastAsia="Futura Lt BT" w:hAnsi="Futura Lt BT" w:cs="Futura Lt BT"/>
          <w:sz w:val="24"/>
          <w:szCs w:val="24"/>
          <w:vertAlign w:val="superscript"/>
        </w:rPr>
        <w:footnoteReference w:id="35"/>
      </w:r>
      <w:r>
        <w:rPr>
          <w:rStyle w:val="dnA"/>
          <w:rFonts w:ascii="Futura Lt BT" w:eastAsia="Futura Lt BT" w:hAnsi="Futura Lt BT" w:cs="Futura Lt BT"/>
          <w:sz w:val="24"/>
          <w:szCs w:val="24"/>
        </w:rPr>
        <w:t xml:space="preserve">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The Czech Republic shares a common history with Slovakia and </w:t>
      </w:r>
      <w:r>
        <w:rPr>
          <w:rStyle w:val="dnA"/>
          <w:rFonts w:ascii="Futura Lt BT" w:eastAsia="Futura Lt BT" w:hAnsi="Futura Lt BT" w:cs="Futura Lt BT"/>
          <w:sz w:val="24"/>
          <w:szCs w:val="24"/>
        </w:rPr>
        <w:t>problems with widespread segregation are almost identical. Therefore, relying on this targeted and very appropriate language of the CEDAW Committee, we understand that a specific emphasis should be placed on explicit incorporation of the right to education</w:t>
      </w:r>
      <w:r>
        <w:rPr>
          <w:rStyle w:val="dnA"/>
          <w:rFonts w:ascii="Futura Lt BT" w:eastAsia="Futura Lt BT" w:hAnsi="Futura Lt BT" w:cs="Futura Lt BT"/>
          <w:sz w:val="24"/>
          <w:szCs w:val="24"/>
        </w:rPr>
        <w:t xml:space="preserve"> into the Czech Education Act and development of a transition plan, including allocation of the necessary technical, human and financial resources to ensure fulfilment of “</w:t>
      </w:r>
      <w:r>
        <w:rPr>
          <w:rStyle w:val="dnA"/>
          <w:rFonts w:ascii="Futura Lt BT" w:eastAsia="Futura Lt BT" w:hAnsi="Futura Lt BT" w:cs="Futura Lt BT"/>
          <w:i/>
          <w:iCs/>
          <w:sz w:val="24"/>
          <w:szCs w:val="24"/>
        </w:rPr>
        <w:t xml:space="preserve">the equal rights of girls” </w:t>
      </w:r>
      <w:r>
        <w:rPr>
          <w:rStyle w:val="dnA"/>
          <w:rFonts w:ascii="Futura Lt BT" w:eastAsia="Futura Lt BT" w:hAnsi="Futura Lt BT" w:cs="Futura Lt BT"/>
          <w:sz w:val="24"/>
          <w:szCs w:val="24"/>
        </w:rPr>
        <w:t xml:space="preserve">with disabilities </w:t>
      </w:r>
      <w:r>
        <w:rPr>
          <w:rStyle w:val="dnA"/>
          <w:rFonts w:ascii="Futura Lt BT" w:eastAsia="Futura Lt BT" w:hAnsi="Futura Lt BT" w:cs="Futura Lt BT"/>
          <w:i/>
          <w:iCs/>
          <w:sz w:val="24"/>
          <w:szCs w:val="24"/>
        </w:rPr>
        <w:t>“who suffer from a double discriminatio</w:t>
      </w:r>
      <w:r>
        <w:rPr>
          <w:rStyle w:val="dnA"/>
          <w:rFonts w:ascii="Futura Lt BT" w:eastAsia="Futura Lt BT" w:hAnsi="Futura Lt BT" w:cs="Futura Lt BT"/>
          <w:i/>
          <w:iCs/>
          <w:sz w:val="24"/>
          <w:szCs w:val="24"/>
        </w:rPr>
        <w:t xml:space="preserve">n” </w:t>
      </w:r>
      <w:r>
        <w:rPr>
          <w:rStyle w:val="dnA"/>
          <w:rFonts w:ascii="Futura Lt BT" w:eastAsia="Futura Lt BT" w:hAnsi="Futura Lt BT" w:cs="Futura Lt BT"/>
          <w:sz w:val="24"/>
          <w:szCs w:val="24"/>
        </w:rPr>
        <w:t xml:space="preserve">in access to education. </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Although the Government is currently introducing a school legislation reform, which is supposed to provide for easier integration of children with special education needs to the mainstream schooling system, those steps fall far</w:t>
      </w:r>
      <w:r>
        <w:rPr>
          <w:rStyle w:val="dnA"/>
          <w:rFonts w:ascii="Futura Lt BT" w:eastAsia="Futura Lt BT" w:hAnsi="Futura Lt BT" w:cs="Futura Lt BT"/>
          <w:sz w:val="24"/>
          <w:szCs w:val="24"/>
        </w:rPr>
        <w:t xml:space="preserve"> beneath the relevant human rights standards relating to the right to inclusive education, as neither of the aforementioned minimum standards on the legislative framework introduced by the Special Rapporteur will be met.</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NoSpacing"/>
        <w:suppressAutoHyphens/>
        <w:jc w:val="both"/>
        <w:rPr>
          <w:rStyle w:val="dnA"/>
          <w:rFonts w:ascii="Futura Lt BT" w:eastAsia="Futura Lt BT" w:hAnsi="Futura Lt BT" w:cs="Futura Lt BT"/>
          <w:b/>
          <w:bCs/>
          <w:i/>
          <w:iCs/>
          <w:sz w:val="24"/>
          <w:szCs w:val="24"/>
        </w:rPr>
      </w:pPr>
      <w:r>
        <w:rPr>
          <w:rStyle w:val="dnA"/>
          <w:rFonts w:ascii="Futura Lt BT" w:eastAsia="Futura Lt BT" w:hAnsi="Futura Lt BT" w:cs="Futura Lt BT"/>
          <w:b/>
          <w:bCs/>
          <w:i/>
          <w:iCs/>
          <w:sz w:val="24"/>
          <w:szCs w:val="24"/>
        </w:rPr>
        <w:t>Proposed recommendation:</w:t>
      </w:r>
    </w:p>
    <w:p w:rsidR="00A244B0" w:rsidRDefault="00271384">
      <w:pPr>
        <w:pStyle w:val="NoSpacing"/>
        <w:suppressAutoHyphens/>
        <w:jc w:val="both"/>
        <w:rPr>
          <w:rStyle w:val="dnA"/>
          <w:rFonts w:ascii="Futura Lt BT" w:eastAsia="Futura Lt BT" w:hAnsi="Futura Lt BT" w:cs="Futura Lt BT"/>
          <w:sz w:val="24"/>
          <w:szCs w:val="24"/>
        </w:rPr>
      </w:pPr>
      <w:r>
        <w:rPr>
          <w:rStyle w:val="dnA"/>
          <w:rFonts w:ascii="Futura Lt BT" w:eastAsia="Futura Lt BT" w:hAnsi="Futura Lt BT" w:cs="Futura Lt BT"/>
          <w:sz w:val="24"/>
          <w:szCs w:val="24"/>
        </w:rPr>
        <w:t xml:space="preserve"> </w:t>
      </w:r>
    </w:p>
    <w:p w:rsidR="00A244B0" w:rsidRDefault="00271384">
      <w:pPr>
        <w:pStyle w:val="NoSpacing"/>
        <w:suppressAutoHyphens/>
        <w:jc w:val="both"/>
        <w:rPr>
          <w:rStyle w:val="dnA"/>
          <w:rFonts w:ascii="Futura Lt BT" w:eastAsia="Futura Lt BT" w:hAnsi="Futura Lt BT" w:cs="Futura Lt BT"/>
        </w:rPr>
      </w:pPr>
      <w:r>
        <w:rPr>
          <w:rStyle w:val="dnA"/>
          <w:rFonts w:ascii="Futura Lt BT" w:eastAsia="Futura Lt BT" w:hAnsi="Futura Lt BT" w:cs="Futura Lt BT"/>
          <w:b/>
          <w:bCs/>
          <w:sz w:val="24"/>
          <w:szCs w:val="24"/>
        </w:rPr>
        <w:t xml:space="preserve">Give </w:t>
      </w:r>
      <w:r>
        <w:rPr>
          <w:rStyle w:val="dnA"/>
          <w:rFonts w:ascii="Futura Lt BT" w:eastAsia="Futura Lt BT" w:hAnsi="Futura Lt BT" w:cs="Futura Lt BT"/>
          <w:b/>
          <w:bCs/>
          <w:sz w:val="24"/>
          <w:szCs w:val="24"/>
        </w:rPr>
        <w:t xml:space="preserve">priority to inclusive education of children with disabilities, including all children with intellectual and psycho-social disabilities, by reviewing relevant legislation and policies to explicitly </w:t>
      </w:r>
      <w:proofErr w:type="spellStart"/>
      <w:r>
        <w:rPr>
          <w:rStyle w:val="dnA"/>
          <w:rFonts w:ascii="Futura Lt BT" w:eastAsia="Futura Lt BT" w:hAnsi="Futura Lt BT" w:cs="Futura Lt BT"/>
          <w:b/>
          <w:bCs/>
          <w:sz w:val="24"/>
          <w:szCs w:val="24"/>
        </w:rPr>
        <w:t>recognise</w:t>
      </w:r>
      <w:proofErr w:type="spellEnd"/>
      <w:r>
        <w:rPr>
          <w:rStyle w:val="dnA"/>
          <w:rFonts w:ascii="Futura Lt BT" w:eastAsia="Futura Lt BT" w:hAnsi="Futura Lt BT" w:cs="Futura Lt BT"/>
          <w:b/>
          <w:bCs/>
          <w:sz w:val="24"/>
          <w:szCs w:val="24"/>
        </w:rPr>
        <w:t xml:space="preserve"> inclusive education as a right of children with d</w:t>
      </w:r>
      <w:r>
        <w:rPr>
          <w:rStyle w:val="dnA"/>
          <w:rFonts w:ascii="Futura Lt BT" w:eastAsia="Futura Lt BT" w:hAnsi="Futura Lt BT" w:cs="Futura Lt BT"/>
          <w:b/>
          <w:bCs/>
          <w:sz w:val="24"/>
          <w:szCs w:val="24"/>
        </w:rPr>
        <w:t>isabilities, to adopt a national transition plan and allocate the necessary technical, human and financial resources to provide for reasonable accommodation for them to study in mainstream classes at mainstream schools.</w:t>
      </w:r>
    </w:p>
    <w:p w:rsidR="00A244B0" w:rsidRDefault="00A244B0">
      <w:pPr>
        <w:pStyle w:val="NoSpacing"/>
        <w:suppressAutoHyphens/>
        <w:jc w:val="both"/>
        <w:rPr>
          <w:rFonts w:ascii="Futura Lt BT" w:eastAsia="Futura Lt BT" w:hAnsi="Futura Lt BT" w:cs="Futura Lt BT"/>
          <w:sz w:val="24"/>
          <w:szCs w:val="24"/>
        </w:rPr>
      </w:pPr>
    </w:p>
    <w:p w:rsidR="00A244B0" w:rsidRDefault="00271384">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Style w:val="dnA"/>
          <w:rFonts w:ascii="Futura Lt BT" w:eastAsia="Futura Lt BT" w:hAnsi="Futura Lt BT" w:cs="Futura Lt BT"/>
          <w:b/>
          <w:bCs/>
        </w:rPr>
      </w:pPr>
      <w:r>
        <w:rPr>
          <w:rStyle w:val="dnA"/>
          <w:rFonts w:ascii="Futura Lt BT" w:eastAsia="Futura Lt BT" w:hAnsi="Futura Lt BT" w:cs="Futura Lt BT"/>
          <w:b/>
          <w:bCs/>
        </w:rPr>
        <w:t>3. Legal capacity (Articles 7, 15),</w:t>
      </w:r>
      <w:r>
        <w:rPr>
          <w:rStyle w:val="dnA"/>
          <w:rFonts w:ascii="Futura Lt BT" w:eastAsia="Futura Lt BT" w:hAnsi="Futura Lt BT" w:cs="Futura Lt BT"/>
          <w:b/>
          <w:bCs/>
        </w:rPr>
        <w:t xml:space="preserve"> health (Article 12) and family rights (Article 16)</w:t>
      </w:r>
    </w:p>
    <w:p w:rsidR="00A244B0" w:rsidRDefault="00A244B0">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Futura Lt BT" w:eastAsia="Futura Lt BT" w:hAnsi="Futura Lt BT" w:cs="Futura Lt BT"/>
        </w:rPr>
      </w:pPr>
    </w:p>
    <w:p w:rsidR="00A244B0" w:rsidRDefault="00271384">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rPr>
      </w:pPr>
      <w:r>
        <w:rPr>
          <w:rStyle w:val="dnA"/>
          <w:rFonts w:ascii="Futura Lt BT" w:eastAsia="Futura Lt BT" w:hAnsi="Futura Lt BT" w:cs="Futura Lt BT"/>
        </w:rPr>
        <w:t xml:space="preserve">Even though the new Czech Civil Code no. 89/2012 Coll. abolished plenary guardianship, it also introduced specific provisions which allow general courts to restrict a person’s legal capacity in specific </w:t>
      </w:r>
      <w:r>
        <w:rPr>
          <w:rStyle w:val="dnA"/>
          <w:rFonts w:ascii="Futura Lt BT" w:eastAsia="Futura Lt BT" w:hAnsi="Futura Lt BT" w:cs="Futura Lt BT"/>
        </w:rPr>
        <w:t>matters, including family and reproductive rights; in concrete the right to marry</w:t>
      </w:r>
      <w:r>
        <w:rPr>
          <w:rStyle w:val="dnA"/>
          <w:rFonts w:ascii="Futura Lt BT" w:eastAsia="Futura Lt BT" w:hAnsi="Futura Lt BT" w:cs="Futura Lt BT"/>
          <w:vertAlign w:val="superscript"/>
        </w:rPr>
        <w:footnoteReference w:id="36"/>
      </w:r>
      <w:r>
        <w:rPr>
          <w:rStyle w:val="dnA"/>
          <w:rFonts w:ascii="Futura Lt BT" w:eastAsia="Futura Lt BT" w:hAnsi="Futura Lt BT" w:cs="Futura Lt BT"/>
        </w:rPr>
        <w:t xml:space="preserve"> and the parental responsibility</w:t>
      </w:r>
      <w:r>
        <w:rPr>
          <w:rStyle w:val="dnA"/>
          <w:rFonts w:ascii="Futura Lt BT" w:eastAsia="Futura Lt BT" w:hAnsi="Futura Lt BT" w:cs="Futura Lt BT"/>
          <w:vertAlign w:val="superscript"/>
        </w:rPr>
        <w:footnoteReference w:id="37"/>
      </w:r>
      <w:r>
        <w:rPr>
          <w:rStyle w:val="dnA"/>
          <w:rFonts w:ascii="Futura Lt BT" w:eastAsia="Futura Lt BT" w:hAnsi="Futura Lt BT" w:cs="Futura Lt BT"/>
        </w:rPr>
        <w:t xml:space="preserve">. These restrictions affect regularly women with intellectual and psycho-social disabilities. </w:t>
      </w:r>
    </w:p>
    <w:p w:rsidR="00A244B0" w:rsidRDefault="00A244B0">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Futura Lt BT" w:eastAsia="Futura Lt BT" w:hAnsi="Futura Lt BT" w:cs="Futura Lt BT"/>
        </w:rPr>
      </w:pPr>
    </w:p>
    <w:p w:rsidR="00A244B0" w:rsidRDefault="00271384">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rPr>
      </w:pPr>
      <w:r>
        <w:rPr>
          <w:rStyle w:val="dnA"/>
          <w:rFonts w:ascii="Futura Lt BT" w:eastAsia="Futura Lt BT" w:hAnsi="Futura Lt BT" w:cs="Futura Lt BT"/>
        </w:rPr>
        <w:t>It has been already acknowledged that the denial of legal capacity to persons with disabilities has, in many cases, led to their being deprived of many fundamental rights, including “</w:t>
      </w:r>
      <w:r>
        <w:rPr>
          <w:rStyle w:val="dnA"/>
          <w:rFonts w:ascii="Futura Lt BT" w:eastAsia="Futura Lt BT" w:hAnsi="Futura Lt BT" w:cs="Futura Lt BT"/>
          <w:i/>
          <w:iCs/>
        </w:rPr>
        <w:t>… the right to marry and found a family, reproductive rights, parental ri</w:t>
      </w:r>
      <w:r>
        <w:rPr>
          <w:rStyle w:val="dnA"/>
          <w:rFonts w:ascii="Futura Lt BT" w:eastAsia="Futura Lt BT" w:hAnsi="Futura Lt BT" w:cs="Futura Lt BT"/>
          <w:i/>
          <w:iCs/>
        </w:rPr>
        <w:t>ghts, the right to give consent for intimate relationships …“.</w:t>
      </w:r>
      <w:r>
        <w:rPr>
          <w:rStyle w:val="dnA"/>
          <w:rFonts w:ascii="Futura Lt BT" w:eastAsia="Futura Lt BT" w:hAnsi="Futura Lt BT" w:cs="Futura Lt BT"/>
          <w:vertAlign w:val="superscript"/>
        </w:rPr>
        <w:footnoteReference w:id="38"/>
      </w:r>
      <w:r>
        <w:rPr>
          <w:rStyle w:val="dnA"/>
          <w:rFonts w:ascii="Futura Lt BT" w:eastAsia="Futura Lt BT" w:hAnsi="Futura Lt BT" w:cs="Futura Lt BT"/>
          <w:i/>
          <w:iCs/>
        </w:rPr>
        <w:t xml:space="preserve"> </w:t>
      </w:r>
      <w:r>
        <w:rPr>
          <w:rStyle w:val="dnA"/>
          <w:rFonts w:ascii="Futura Lt BT" w:eastAsia="Futura Lt BT" w:hAnsi="Futura Lt BT" w:cs="Futura Lt BT"/>
        </w:rPr>
        <w:t>It is thus evident, that recognition of legal capacity is inextricably linked to the enjoyment of the right to marry and found a family.</w:t>
      </w:r>
      <w:r>
        <w:rPr>
          <w:rStyle w:val="dnA"/>
          <w:rFonts w:ascii="Futura Lt BT" w:eastAsia="Futura Lt BT" w:hAnsi="Futura Lt BT" w:cs="Futura Lt BT"/>
          <w:vertAlign w:val="superscript"/>
        </w:rPr>
        <w:footnoteReference w:id="39"/>
      </w:r>
      <w:r>
        <w:rPr>
          <w:rStyle w:val="dnA"/>
          <w:rFonts w:ascii="Futura Lt BT" w:eastAsia="Futura Lt BT" w:hAnsi="Futura Lt BT" w:cs="Futura Lt BT"/>
        </w:rPr>
        <w:t xml:space="preserve"> The CEDAW Committee underlined that a woman's right “</w:t>
      </w:r>
      <w:r>
        <w:rPr>
          <w:rStyle w:val="dnA"/>
          <w:rFonts w:ascii="Futura Lt BT" w:eastAsia="Futura Lt BT" w:hAnsi="Futura Lt BT" w:cs="Futura Lt BT"/>
          <w:i/>
          <w:iCs/>
        </w:rPr>
        <w:t>t</w:t>
      </w:r>
      <w:r>
        <w:rPr>
          <w:rStyle w:val="dnA"/>
          <w:rFonts w:ascii="Futura Lt BT" w:eastAsia="Futura Lt BT" w:hAnsi="Futura Lt BT" w:cs="Futura Lt BT"/>
          <w:i/>
          <w:iCs/>
        </w:rPr>
        <w:t>o choose a spouse and enter freely into marriage is central to her life and to her dignity and equality as a human being</w:t>
      </w:r>
      <w:r>
        <w:rPr>
          <w:rStyle w:val="dnA"/>
          <w:rFonts w:ascii="Futura Lt BT" w:eastAsia="Futura Lt BT" w:hAnsi="Futura Lt BT" w:cs="Futura Lt BT"/>
        </w:rPr>
        <w:t>”</w:t>
      </w:r>
      <w:r>
        <w:rPr>
          <w:rStyle w:val="dnA"/>
          <w:rFonts w:ascii="Futura Lt BT" w:eastAsia="Futura Lt BT" w:hAnsi="Futura Lt BT" w:cs="Futura Lt BT"/>
          <w:vertAlign w:val="superscript"/>
        </w:rPr>
        <w:footnoteReference w:id="40"/>
      </w:r>
      <w:r>
        <w:rPr>
          <w:rStyle w:val="dnA"/>
          <w:rFonts w:ascii="Futura Lt BT" w:eastAsia="Futura Lt BT" w:hAnsi="Futura Lt BT" w:cs="Futura Lt BT"/>
        </w:rPr>
        <w:t>. Therefore, “</w:t>
      </w:r>
      <w:r>
        <w:rPr>
          <w:rStyle w:val="dnA"/>
          <w:rFonts w:ascii="Futura Lt BT" w:eastAsia="Futura Lt BT" w:hAnsi="Futura Lt BT" w:cs="Futura Lt BT"/>
          <w:i/>
          <w:iCs/>
        </w:rPr>
        <w:t>subject to reasonable restrictions based for example on woman's youth or consanguinity with her partner, a woman's right</w:t>
      </w:r>
      <w:r>
        <w:rPr>
          <w:rStyle w:val="dnA"/>
          <w:rFonts w:ascii="Futura Lt BT" w:eastAsia="Futura Lt BT" w:hAnsi="Futura Lt BT" w:cs="Futura Lt BT"/>
          <w:i/>
          <w:iCs/>
        </w:rPr>
        <w:t xml:space="preserve"> to choose when, if, and whom she will marry must be protected and enforced at law</w:t>
      </w:r>
      <w:r>
        <w:rPr>
          <w:rStyle w:val="dnA"/>
          <w:rFonts w:ascii="Futura Lt BT" w:eastAsia="Futura Lt BT" w:hAnsi="Futura Lt BT" w:cs="Futura Lt BT"/>
        </w:rPr>
        <w:t>.”</w:t>
      </w:r>
      <w:r>
        <w:rPr>
          <w:rStyle w:val="dnA"/>
          <w:rFonts w:ascii="Futura Lt BT" w:eastAsia="Futura Lt BT" w:hAnsi="Futura Lt BT" w:cs="Futura Lt BT"/>
          <w:vertAlign w:val="superscript"/>
        </w:rPr>
        <w:footnoteReference w:id="41"/>
      </w:r>
      <w:r>
        <w:rPr>
          <w:rStyle w:val="dnA"/>
          <w:rFonts w:ascii="Futura Lt BT" w:eastAsia="Futura Lt BT" w:hAnsi="Futura Lt BT" w:cs="Futura Lt BT"/>
        </w:rPr>
        <w:t xml:space="preserve"> Disability or impairment should never be reasonable ground on which to restrict or deny legal capacity,</w:t>
      </w:r>
      <w:r>
        <w:rPr>
          <w:rStyle w:val="dnA"/>
          <w:rFonts w:ascii="Futura Lt BT" w:eastAsia="Futura Lt BT" w:hAnsi="Futura Lt BT" w:cs="Futura Lt BT"/>
          <w:vertAlign w:val="superscript"/>
        </w:rPr>
        <w:footnoteReference w:id="42"/>
      </w:r>
      <w:r>
        <w:rPr>
          <w:rStyle w:val="dnA"/>
          <w:rFonts w:ascii="Futura Lt BT" w:eastAsia="Futura Lt BT" w:hAnsi="Futura Lt BT" w:cs="Futura Lt BT"/>
        </w:rPr>
        <w:t xml:space="preserve"> including in respect of family and marriage rights. In this respe</w:t>
      </w:r>
      <w:r>
        <w:rPr>
          <w:rStyle w:val="dnA"/>
          <w:rFonts w:ascii="Futura Lt BT" w:eastAsia="Futura Lt BT" w:hAnsi="Futura Lt BT" w:cs="Futura Lt BT"/>
        </w:rPr>
        <w:t>ct the CESCR expressed its concern that “</w:t>
      </w:r>
      <w:r>
        <w:rPr>
          <w:rStyle w:val="dnA"/>
          <w:rFonts w:ascii="Futura Lt BT" w:eastAsia="Futura Lt BT" w:hAnsi="Futura Lt BT" w:cs="Futura Lt BT"/>
          <w:i/>
          <w:iCs/>
        </w:rPr>
        <w:t>the right of persons with disabilities to marry and have their own family … are frequently ignored or denied, especially in the case of persons with mental disabilities</w:t>
      </w:r>
      <w:r>
        <w:rPr>
          <w:rStyle w:val="dnA"/>
          <w:rFonts w:ascii="Futura Lt BT" w:eastAsia="Futura Lt BT" w:hAnsi="Futura Lt BT" w:cs="Futura Lt BT"/>
        </w:rPr>
        <w:t>”, and noted that “</w:t>
      </w:r>
      <w:r>
        <w:rPr>
          <w:rStyle w:val="dnA"/>
          <w:rFonts w:ascii="Futura Lt BT" w:eastAsia="Futura Lt BT" w:hAnsi="Futura Lt BT" w:cs="Futura Lt BT"/>
          <w:i/>
          <w:iCs/>
        </w:rPr>
        <w:t>States parties should ensure</w:t>
      </w:r>
      <w:r>
        <w:rPr>
          <w:rStyle w:val="dnA"/>
          <w:rFonts w:ascii="Futura Lt BT" w:eastAsia="Futura Lt BT" w:hAnsi="Futura Lt BT" w:cs="Futura Lt BT"/>
          <w:i/>
          <w:iCs/>
        </w:rPr>
        <w:t xml:space="preserve"> that laws and social policies and practices do not impede the realization of these rights</w:t>
      </w:r>
      <w:r>
        <w:rPr>
          <w:rStyle w:val="dnA"/>
          <w:rFonts w:ascii="Futura Lt BT" w:eastAsia="Futura Lt BT" w:hAnsi="Futura Lt BT" w:cs="Futura Lt BT"/>
        </w:rPr>
        <w:t>”.</w:t>
      </w:r>
      <w:r>
        <w:rPr>
          <w:rStyle w:val="dnA"/>
          <w:rFonts w:ascii="Futura Lt BT" w:eastAsia="Futura Lt BT" w:hAnsi="Futura Lt BT" w:cs="Futura Lt BT"/>
          <w:vertAlign w:val="superscript"/>
        </w:rPr>
        <w:footnoteReference w:id="43"/>
      </w:r>
      <w:r>
        <w:rPr>
          <w:rStyle w:val="dnA"/>
          <w:rFonts w:ascii="Futura Lt BT" w:eastAsia="Futura Lt BT" w:hAnsi="Futura Lt BT" w:cs="Futura Lt BT"/>
        </w:rPr>
        <w:t xml:space="preserve"> Despite the Government being already informed that the law which “</w:t>
      </w:r>
      <w:r>
        <w:rPr>
          <w:rStyle w:val="dnA"/>
          <w:rFonts w:ascii="Futura Lt BT" w:eastAsia="Futura Lt BT" w:hAnsi="Futura Lt BT" w:cs="Futura Lt BT"/>
          <w:i/>
          <w:iCs/>
        </w:rPr>
        <w:t>explicitly allow[s] for the restriction of legal capacity in family matters, especially the righ</w:t>
      </w:r>
      <w:r>
        <w:rPr>
          <w:rStyle w:val="dnA"/>
          <w:rFonts w:ascii="Futura Lt BT" w:eastAsia="Futura Lt BT" w:hAnsi="Futura Lt BT" w:cs="Futura Lt BT"/>
          <w:i/>
          <w:iCs/>
        </w:rPr>
        <w:t>t to marriage, parental responsibility, and adoption</w:t>
      </w:r>
      <w:r>
        <w:rPr>
          <w:rStyle w:val="dnA"/>
          <w:rFonts w:ascii="Futura Lt BT" w:eastAsia="Futura Lt BT" w:hAnsi="Futura Lt BT" w:cs="Futura Lt BT"/>
        </w:rPr>
        <w:t>”</w:t>
      </w:r>
      <w:r>
        <w:rPr>
          <w:rStyle w:val="dnA"/>
          <w:rFonts w:ascii="Futura Lt BT" w:eastAsia="Futura Lt BT" w:hAnsi="Futura Lt BT" w:cs="Futura Lt BT"/>
          <w:vertAlign w:val="superscript"/>
        </w:rPr>
        <w:footnoteReference w:id="44"/>
      </w:r>
      <w:r>
        <w:rPr>
          <w:rStyle w:val="dnA"/>
          <w:rFonts w:ascii="Futura Lt BT" w:eastAsia="Futura Lt BT" w:hAnsi="Futura Lt BT" w:cs="Futura Lt BT"/>
        </w:rPr>
        <w:t xml:space="preserve"> is problematic from a human rights perspective and has recommended repeal of these provisions, the Czech Government has failed to take any steps in this regard. </w:t>
      </w:r>
    </w:p>
    <w:p w:rsidR="00A244B0" w:rsidRDefault="00A244B0">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Futura Lt BT" w:eastAsia="Futura Lt BT" w:hAnsi="Futura Lt BT" w:cs="Futura Lt BT"/>
        </w:rPr>
      </w:pPr>
    </w:p>
    <w:p w:rsidR="00A244B0" w:rsidRDefault="00271384">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rPr>
      </w:pPr>
      <w:r>
        <w:rPr>
          <w:rStyle w:val="dnA"/>
          <w:rFonts w:ascii="Futura Lt BT" w:eastAsia="Futura Lt BT" w:hAnsi="Futura Lt BT" w:cs="Futura Lt BT"/>
        </w:rPr>
        <w:t>Restriction or denial of the legal cap</w:t>
      </w:r>
      <w:r>
        <w:rPr>
          <w:rStyle w:val="dnA"/>
          <w:rFonts w:ascii="Futura Lt BT" w:eastAsia="Futura Lt BT" w:hAnsi="Futura Lt BT" w:cs="Futura Lt BT"/>
        </w:rPr>
        <w:t>acity of women with disabilities also occurs through the operation Czech health legislation, providing the option of restricting their right to provide informed consent and make independent decisions about their healthcare decisions (see Article 28(3</w:t>
      </w:r>
      <w:proofErr w:type="gramStart"/>
      <w:r>
        <w:rPr>
          <w:rStyle w:val="dnA"/>
          <w:rFonts w:ascii="Futura Lt BT" w:eastAsia="Futura Lt BT" w:hAnsi="Futura Lt BT" w:cs="Futura Lt BT"/>
        </w:rPr>
        <w:t>)(</w:t>
      </w:r>
      <w:proofErr w:type="gramEnd"/>
      <w:r>
        <w:rPr>
          <w:rStyle w:val="dnA"/>
          <w:rFonts w:ascii="Futura Lt BT" w:eastAsia="Futura Lt BT" w:hAnsi="Futura Lt BT" w:cs="Futura Lt BT"/>
        </w:rPr>
        <w:t>e) o</w:t>
      </w:r>
      <w:r>
        <w:rPr>
          <w:rStyle w:val="dnA"/>
          <w:rFonts w:ascii="Futura Lt BT" w:eastAsia="Futura Lt BT" w:hAnsi="Futura Lt BT" w:cs="Futura Lt BT"/>
        </w:rPr>
        <w:t>f the Health Care Services Act).</w:t>
      </w:r>
    </w:p>
    <w:p w:rsidR="00A244B0" w:rsidRDefault="00A244B0">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Futura Lt BT" w:eastAsia="Futura Lt BT" w:hAnsi="Futura Lt BT" w:cs="Futura Lt BT"/>
        </w:rPr>
      </w:pPr>
    </w:p>
    <w:p w:rsidR="00A244B0" w:rsidRDefault="00271384">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Style w:val="dnA"/>
          <w:rFonts w:ascii="Futura Lt BT" w:eastAsia="Futura Lt BT" w:hAnsi="Futura Lt BT" w:cs="Futura Lt BT"/>
          <w:b/>
          <w:bCs/>
          <w:i/>
          <w:iCs/>
        </w:rPr>
      </w:pPr>
      <w:r>
        <w:rPr>
          <w:rStyle w:val="dnA"/>
          <w:rFonts w:ascii="Futura Lt BT" w:eastAsia="Futura Lt BT" w:hAnsi="Futura Lt BT" w:cs="Futura Lt BT"/>
          <w:b/>
          <w:bCs/>
          <w:i/>
          <w:iCs/>
        </w:rPr>
        <w:t xml:space="preserve">Proposed recommendation: </w:t>
      </w:r>
    </w:p>
    <w:p w:rsidR="00A244B0" w:rsidRDefault="00A244B0">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Futura Lt BT" w:eastAsia="Futura Lt BT" w:hAnsi="Futura Lt BT" w:cs="Futura Lt BT"/>
          <w:b/>
          <w:bCs/>
        </w:rPr>
      </w:pPr>
    </w:p>
    <w:p w:rsidR="00A244B0" w:rsidRDefault="00271384">
      <w:pPr>
        <w:pStyle w:val="Tex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Futura Lt BT" w:eastAsia="Futura Lt BT" w:hAnsi="Futura Lt BT" w:cs="Futura Lt BT"/>
          <w:b/>
          <w:bCs/>
        </w:rPr>
      </w:pPr>
      <w:r>
        <w:rPr>
          <w:rStyle w:val="dnA"/>
          <w:rFonts w:ascii="Futura Lt BT" w:eastAsia="Futura Lt BT" w:hAnsi="Futura Lt BT" w:cs="Futura Lt BT"/>
          <w:b/>
          <w:bCs/>
        </w:rPr>
        <w:t>Repeal provisions allowing for restriction of legal capacity in family matters, especially the right to marriage, parental responsibility, and adoption. Reasonable accommodations and support must</w:t>
      </w:r>
      <w:r>
        <w:rPr>
          <w:rStyle w:val="dnA"/>
          <w:rFonts w:ascii="Futura Lt BT" w:eastAsia="Futura Lt BT" w:hAnsi="Futura Lt BT" w:cs="Futura Lt BT"/>
          <w:b/>
          <w:bCs/>
        </w:rPr>
        <w:t xml:space="preserve"> be made available to women and girls with disabilities to exercise these rights, and the Government should consider adopting special measures where required.</w:t>
      </w:r>
    </w:p>
    <w:p w:rsidR="00A244B0" w:rsidRDefault="00A244B0">
      <w:pPr>
        <w:pStyle w:val="NoSpacing"/>
        <w:suppressAutoHyphens/>
        <w:jc w:val="both"/>
        <w:rPr>
          <w:rFonts w:ascii="Futura Lt BT" w:eastAsia="Futura Lt BT" w:hAnsi="Futura Lt BT" w:cs="Futura Lt BT"/>
          <w:b/>
          <w:bCs/>
        </w:rPr>
      </w:pPr>
    </w:p>
    <w:p w:rsidR="00A244B0" w:rsidRDefault="00271384">
      <w:pPr>
        <w:pStyle w:val="NoSpacing"/>
        <w:suppressAutoHyphens/>
        <w:jc w:val="both"/>
        <w:rPr>
          <w:rStyle w:val="dnA"/>
          <w:rFonts w:ascii="Futura Lt BT" w:eastAsia="Futura Lt BT" w:hAnsi="Futura Lt BT" w:cs="Futura Lt BT"/>
          <w:b/>
          <w:bCs/>
        </w:rPr>
      </w:pPr>
      <w:r>
        <w:rPr>
          <w:rStyle w:val="dnA"/>
          <w:rFonts w:ascii="Futura Lt BT" w:eastAsia="Futura Lt BT" w:hAnsi="Futura Lt BT" w:cs="Futura Lt BT"/>
          <w:b/>
          <w:bCs/>
        </w:rPr>
        <w:t xml:space="preserve">Repeal provisions allowing for restriction of legal capacity in respect of health care matters, </w:t>
      </w:r>
      <w:r>
        <w:rPr>
          <w:rStyle w:val="dnA"/>
          <w:rFonts w:ascii="Futura Lt BT" w:eastAsia="Futura Lt BT" w:hAnsi="Futura Lt BT" w:cs="Futura Lt BT"/>
          <w:b/>
          <w:bCs/>
        </w:rPr>
        <w:t>including the right to decide independently and provide informed consent. Reasonable accommodations and support must be made available to women and girls with disabilities, and the Government should consider adopting special measures where required.</w:t>
      </w:r>
    </w:p>
    <w:p w:rsidR="00A244B0" w:rsidRDefault="00A244B0">
      <w:pPr>
        <w:pStyle w:val="NoSpacing"/>
        <w:suppressAutoHyphens/>
        <w:jc w:val="both"/>
        <w:rPr>
          <w:rFonts w:ascii="Futura Lt BT" w:eastAsia="Futura Lt BT" w:hAnsi="Futura Lt BT" w:cs="Futura Lt BT"/>
          <w:b/>
          <w:bCs/>
        </w:rPr>
      </w:pPr>
    </w:p>
    <w:p w:rsidR="00CB2AF5" w:rsidRDefault="00CB2AF5">
      <w:pPr>
        <w:rPr>
          <w:rStyle w:val="dnA"/>
          <w:rFonts w:ascii="Futura Lt BT" w:eastAsia="Futura Lt BT" w:hAnsi="Futura Lt BT" w:cs="Futura Lt BT"/>
          <w:color w:val="000000"/>
          <w:sz w:val="22"/>
          <w:szCs w:val="22"/>
          <w:u w:color="000000"/>
        </w:rPr>
      </w:pPr>
      <w:bookmarkStart w:id="0" w:name="_GoBack"/>
      <w:bookmarkEnd w:id="0"/>
    </w:p>
    <w:p w:rsidR="00A244B0" w:rsidRDefault="00271384">
      <w:pPr>
        <w:pStyle w:val="NoSpacing"/>
        <w:suppressAutoHyphens/>
        <w:jc w:val="both"/>
        <w:rPr>
          <w:rStyle w:val="dnA"/>
          <w:rFonts w:ascii="Futura Lt BT" w:eastAsia="Futura Lt BT" w:hAnsi="Futura Lt BT" w:cs="Futura Lt BT"/>
        </w:rPr>
      </w:pPr>
      <w:r>
        <w:rPr>
          <w:rStyle w:val="dnA"/>
          <w:rFonts w:ascii="Futura Lt BT" w:eastAsia="Futura Lt BT" w:hAnsi="Futura Lt BT" w:cs="Futura Lt BT"/>
        </w:rPr>
        <w:t xml:space="preserve">For </w:t>
      </w:r>
      <w:r>
        <w:rPr>
          <w:rStyle w:val="dnA"/>
          <w:rFonts w:ascii="Futura Lt BT" w:eastAsia="Futura Lt BT" w:hAnsi="Futura Lt BT" w:cs="Futura Lt BT"/>
        </w:rPr>
        <w:t>further information, please contact:</w:t>
      </w:r>
    </w:p>
    <w:p w:rsidR="00A244B0" w:rsidRDefault="00A244B0">
      <w:pPr>
        <w:pStyle w:val="NoSpacing"/>
        <w:suppressAutoHyphens/>
        <w:jc w:val="both"/>
        <w:rPr>
          <w:rFonts w:ascii="Futura Lt BT" w:eastAsia="Futura Lt BT" w:hAnsi="Futura Lt BT" w:cs="Futura Lt BT"/>
        </w:rPr>
      </w:pPr>
    </w:p>
    <w:p w:rsidR="00A244B0" w:rsidRDefault="00271384">
      <w:pPr>
        <w:pStyle w:val="NoSpacing"/>
        <w:suppressAutoHyphens/>
        <w:ind w:left="708"/>
        <w:jc w:val="both"/>
        <w:rPr>
          <w:rStyle w:val="dnA"/>
          <w:rFonts w:ascii="Futura Lt BT" w:eastAsia="Futura Lt BT" w:hAnsi="Futura Lt BT" w:cs="Futura Lt BT"/>
          <w:b/>
          <w:bCs/>
        </w:rPr>
      </w:pPr>
      <w:r>
        <w:rPr>
          <w:rStyle w:val="dnA"/>
          <w:rFonts w:ascii="Futura Lt BT" w:eastAsia="Futura Lt BT" w:hAnsi="Futura Lt BT" w:cs="Futura Lt BT"/>
          <w:b/>
          <w:bCs/>
        </w:rPr>
        <w:t xml:space="preserve">Oana </w:t>
      </w:r>
      <w:proofErr w:type="spellStart"/>
      <w:r>
        <w:rPr>
          <w:rStyle w:val="dnA"/>
          <w:rFonts w:ascii="Futura Lt BT" w:eastAsia="Futura Lt BT" w:hAnsi="Futura Lt BT" w:cs="Futura Lt BT"/>
          <w:b/>
          <w:bCs/>
        </w:rPr>
        <w:t>G</w:t>
      </w:r>
      <w:r>
        <w:rPr>
          <w:rStyle w:val="dnA"/>
          <w:rFonts w:ascii="Arial" w:hAnsi="Arial"/>
          <w:b/>
          <w:bCs/>
        </w:rPr>
        <w:t>î</w:t>
      </w:r>
      <w:r>
        <w:rPr>
          <w:rStyle w:val="dnA"/>
          <w:rFonts w:ascii="Futura Lt BT" w:eastAsia="Futura Lt BT" w:hAnsi="Futura Lt BT" w:cs="Futura Lt BT"/>
          <w:b/>
          <w:bCs/>
        </w:rPr>
        <w:t>rlescu</w:t>
      </w:r>
      <w:proofErr w:type="spellEnd"/>
    </w:p>
    <w:p w:rsidR="00A244B0" w:rsidRDefault="00271384">
      <w:pPr>
        <w:pStyle w:val="NoSpacing"/>
        <w:suppressAutoHyphens/>
        <w:ind w:left="708"/>
        <w:jc w:val="both"/>
        <w:rPr>
          <w:rStyle w:val="dnA"/>
          <w:rFonts w:ascii="Futura Lt BT" w:eastAsia="Futura Lt BT" w:hAnsi="Futura Lt BT" w:cs="Futura Lt BT"/>
        </w:rPr>
      </w:pPr>
      <w:r>
        <w:rPr>
          <w:rStyle w:val="dnA"/>
          <w:rFonts w:ascii="Futura Lt BT" w:eastAsia="Futura Lt BT" w:hAnsi="Futura Lt BT" w:cs="Futura Lt BT"/>
        </w:rPr>
        <w:t>Advocacy Officer</w:t>
      </w:r>
    </w:p>
    <w:p w:rsidR="00A244B0" w:rsidRDefault="00271384">
      <w:pPr>
        <w:pStyle w:val="NoSpacing"/>
        <w:suppressAutoHyphens/>
        <w:ind w:left="708"/>
        <w:jc w:val="both"/>
        <w:rPr>
          <w:rStyle w:val="dnA"/>
          <w:rFonts w:ascii="Futura Lt BT" w:eastAsia="Futura Lt BT" w:hAnsi="Futura Lt BT" w:cs="Futura Lt BT"/>
        </w:rPr>
      </w:pPr>
      <w:r>
        <w:rPr>
          <w:rStyle w:val="dnA"/>
          <w:rFonts w:ascii="Futura Lt BT" w:eastAsia="Futura Lt BT" w:hAnsi="Futura Lt BT" w:cs="Futura Lt BT"/>
        </w:rPr>
        <w:t>Mental Disability Advocacy Centre (MDAC)</w:t>
      </w:r>
    </w:p>
    <w:p w:rsidR="00A244B0" w:rsidRDefault="00271384">
      <w:pPr>
        <w:pStyle w:val="NoSpacing"/>
        <w:suppressAutoHyphens/>
        <w:ind w:left="708"/>
        <w:jc w:val="both"/>
      </w:pPr>
      <w:hyperlink r:id="rId10" w:history="1">
        <w:r>
          <w:rPr>
            <w:rStyle w:val="Hyperlink3"/>
          </w:rPr>
          <w:t>oana@mdac.org</w:t>
        </w:r>
      </w:hyperlink>
    </w:p>
    <w:sectPr w:rsidR="00A244B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71384">
      <w:r>
        <w:separator/>
      </w:r>
    </w:p>
  </w:endnote>
  <w:endnote w:type="continuationSeparator" w:id="0">
    <w:p w:rsidR="00000000" w:rsidRDefault="0027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B0" w:rsidRDefault="00271384">
      <w:r>
        <w:separator/>
      </w:r>
    </w:p>
  </w:footnote>
  <w:footnote w:type="continuationSeparator" w:id="0">
    <w:p w:rsidR="00A244B0" w:rsidRDefault="00271384">
      <w:r>
        <w:continuationSeparator/>
      </w:r>
    </w:p>
  </w:footnote>
  <w:footnote w:type="continuationNotice" w:id="1">
    <w:p w:rsidR="00A244B0" w:rsidRDefault="00A244B0"/>
  </w:footnote>
  <w:footnote w:id="2">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sz w:val="18"/>
          <w:szCs w:val="18"/>
        </w:rPr>
        <w:t>Report of the Special Rapporteur on Violence against Women (the issue of violence against women with disabilities), A/67/227, report of 3 August 2012, para.</w:t>
      </w:r>
      <w:proofErr w:type="gramEnd"/>
      <w:r>
        <w:rPr>
          <w:rStyle w:val="dnA"/>
          <w:rFonts w:ascii="Futura Lt BT" w:eastAsia="Futura Lt BT" w:hAnsi="Futura Lt BT" w:cs="Futura Lt BT"/>
          <w:sz w:val="18"/>
          <w:szCs w:val="18"/>
        </w:rPr>
        <w:t xml:space="preserve"> 12.</w:t>
      </w:r>
    </w:p>
  </w:footnote>
  <w:footnote w:id="3">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The report is available online at: </w:t>
      </w:r>
      <w:hyperlink r:id="rId1" w:history="1">
        <w:r>
          <w:rPr>
            <w:rStyle w:val="Hyperlink1"/>
          </w:rPr>
          <w:t>http://www.who.int/disabilities/world_report/2011/en/</w:t>
        </w:r>
      </w:hyperlink>
      <w:r>
        <w:rPr>
          <w:rStyle w:val="dnA"/>
          <w:rFonts w:ascii="Futura Lt BT" w:eastAsia="Futura Lt BT" w:hAnsi="Futura Lt BT" w:cs="Futura Lt BT"/>
          <w:sz w:val="18"/>
          <w:szCs w:val="18"/>
        </w:rPr>
        <w:t xml:space="preserve"> </w:t>
      </w:r>
    </w:p>
  </w:footnote>
  <w:footnote w:id="4">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Michelle Fine and Adrienne Asch, “Disabled women: sexism without the pedestal”, Journal of Sociology and Social Welfare, Soc. vol. 8, No. 2 (1981), cited in A/67/227, report of 3 August </w:t>
      </w:r>
      <w:r>
        <w:rPr>
          <w:rStyle w:val="dnA"/>
          <w:rFonts w:ascii="Futura Lt BT" w:eastAsia="Futura Lt BT" w:hAnsi="Futura Lt BT" w:cs="Futura Lt BT"/>
          <w:sz w:val="18"/>
          <w:szCs w:val="18"/>
        </w:rPr>
        <w:t>2012, para. 20</w:t>
      </w:r>
    </w:p>
  </w:footnote>
  <w:footnote w:id="5">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Supra</w:t>
      </w:r>
      <w:r>
        <w:rPr>
          <w:rStyle w:val="dnA"/>
          <w:rFonts w:ascii="Futura Lt BT" w:eastAsia="Futura Lt BT" w:hAnsi="Futura Lt BT" w:cs="Futura Lt BT"/>
          <w:sz w:val="18"/>
          <w:szCs w:val="18"/>
        </w:rPr>
        <w:t xml:space="preserve"> note 1, A/67/227, report of 3 August 2012, para. 12.</w:t>
      </w:r>
    </w:p>
  </w:footnote>
  <w:footnote w:id="6">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Ibid</w:t>
      </w:r>
      <w:r>
        <w:rPr>
          <w:rStyle w:val="dnA"/>
          <w:rFonts w:ascii="Futura Lt BT" w:eastAsia="Futura Lt BT" w:hAnsi="Futura Lt BT" w:cs="Futura Lt BT"/>
          <w:sz w:val="18"/>
          <w:szCs w:val="18"/>
        </w:rPr>
        <w:t>.</w:t>
      </w:r>
    </w:p>
  </w:footnote>
  <w:footnote w:id="7">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sz w:val="18"/>
          <w:szCs w:val="18"/>
        </w:rPr>
        <w:t>Laurie E. Powers, Rosemary B. Hughes and Emily M. Lund.</w:t>
      </w:r>
      <w:proofErr w:type="gramEnd"/>
      <w:r>
        <w:rPr>
          <w:rStyle w:val="dnA"/>
          <w:rFonts w:ascii="Futura Lt BT" w:eastAsia="Futura Lt BT" w:hAnsi="Futura Lt BT" w:cs="Futura Lt BT"/>
          <w:sz w:val="18"/>
          <w:szCs w:val="18"/>
        </w:rPr>
        <w:t xml:space="preserve"> (2011). Interpersonal Violence and Women </w:t>
      </w:r>
      <w:proofErr w:type="gramStart"/>
      <w:r>
        <w:rPr>
          <w:rStyle w:val="dnA"/>
          <w:rFonts w:ascii="Futura Lt BT" w:eastAsia="Futura Lt BT" w:hAnsi="Futura Lt BT" w:cs="Futura Lt BT"/>
          <w:sz w:val="18"/>
          <w:szCs w:val="18"/>
        </w:rPr>
        <w:t>With</w:t>
      </w:r>
      <w:proofErr w:type="gramEnd"/>
      <w:r>
        <w:rPr>
          <w:rStyle w:val="dnA"/>
          <w:rFonts w:ascii="Futura Lt BT" w:eastAsia="Futura Lt BT" w:hAnsi="Futura Lt BT" w:cs="Futura Lt BT"/>
          <w:sz w:val="18"/>
          <w:szCs w:val="18"/>
        </w:rPr>
        <w:t xml:space="preserve"> Disabil</w:t>
      </w:r>
      <w:r>
        <w:rPr>
          <w:rStyle w:val="dnA"/>
          <w:rFonts w:ascii="Futura Lt BT" w:eastAsia="Futura Lt BT" w:hAnsi="Futura Lt BT" w:cs="Futura Lt BT"/>
          <w:sz w:val="18"/>
          <w:szCs w:val="18"/>
        </w:rPr>
        <w:t>i</w:t>
      </w:r>
      <w:r>
        <w:rPr>
          <w:rStyle w:val="dnA"/>
          <w:rFonts w:ascii="Futura Lt BT" w:eastAsia="Futura Lt BT" w:hAnsi="Futura Lt BT" w:cs="Futura Lt BT"/>
          <w:sz w:val="18"/>
          <w:szCs w:val="18"/>
        </w:rPr>
        <w:t xml:space="preserve">ties: A Research Update, available at </w:t>
      </w:r>
      <w:hyperlink r:id="rId2" w:history="1">
        <w:r w:rsidR="00FD7247" w:rsidRPr="00113974">
          <w:rPr>
            <w:rStyle w:val="Hyperlink"/>
            <w:rFonts w:ascii="Futura Lt BT" w:eastAsia="Futura Lt BT" w:hAnsi="Futura Lt BT" w:cs="Futura Lt BT"/>
            <w:sz w:val="18"/>
            <w:szCs w:val="18"/>
          </w:rPr>
          <w:t>http://www.vawnet.org/applied-research-papers/print-document.php?doc_id=2077</w:t>
        </w:r>
      </w:hyperlink>
      <w:r w:rsidR="00FD7247">
        <w:rPr>
          <w:rStyle w:val="dnA"/>
          <w:rFonts w:ascii="Futura Lt BT" w:eastAsia="Futura Lt BT" w:hAnsi="Futura Lt BT" w:cs="Futura Lt BT"/>
          <w:sz w:val="18"/>
          <w:szCs w:val="18"/>
        </w:rPr>
        <w:t xml:space="preserve">. </w:t>
      </w:r>
    </w:p>
  </w:footnote>
  <w:footnote w:id="8">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Supra</w:t>
      </w:r>
      <w:r>
        <w:rPr>
          <w:rStyle w:val="dnA"/>
          <w:rFonts w:ascii="Futura Lt BT" w:eastAsia="Futura Lt BT" w:hAnsi="Futura Lt BT" w:cs="Futura Lt BT"/>
          <w:sz w:val="18"/>
          <w:szCs w:val="18"/>
        </w:rPr>
        <w:t xml:space="preserve"> note 1, A/67/227, report of 3 August 2012, para. 30.</w:t>
      </w:r>
    </w:p>
  </w:footnote>
  <w:footnote w:id="9">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sz w:val="18"/>
          <w:szCs w:val="18"/>
        </w:rPr>
        <w:t>As found in a research conduc</w:t>
      </w:r>
      <w:r w:rsidR="00FD7247">
        <w:rPr>
          <w:rStyle w:val="dnA"/>
          <w:rFonts w:ascii="Futura Lt BT" w:eastAsia="Futura Lt BT" w:hAnsi="Futura Lt BT" w:cs="Futura Lt BT"/>
          <w:sz w:val="18"/>
          <w:szCs w:val="18"/>
        </w:rPr>
        <w:t>ted in Australia (The Guardian</w:t>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Domestic violence more severe against women wit</w:t>
      </w:r>
      <w:r>
        <w:rPr>
          <w:rStyle w:val="dnA"/>
          <w:rFonts w:ascii="Futura Lt BT" w:eastAsia="Futura Lt BT" w:hAnsi="Futura Lt BT" w:cs="Futura Lt BT"/>
          <w:i/>
          <w:iCs/>
          <w:sz w:val="18"/>
          <w:szCs w:val="18"/>
        </w:rPr>
        <w:t>h di</w:t>
      </w:r>
      <w:r>
        <w:rPr>
          <w:rStyle w:val="dnA"/>
          <w:rFonts w:ascii="Futura Lt BT" w:eastAsia="Futura Lt BT" w:hAnsi="Futura Lt BT" w:cs="Futura Lt BT"/>
          <w:i/>
          <w:iCs/>
          <w:sz w:val="18"/>
          <w:szCs w:val="18"/>
        </w:rPr>
        <w:t>s</w:t>
      </w:r>
      <w:r>
        <w:rPr>
          <w:rStyle w:val="dnA"/>
          <w:rFonts w:ascii="Futura Lt BT" w:eastAsia="Futura Lt BT" w:hAnsi="Futura Lt BT" w:cs="Futura Lt BT"/>
          <w:i/>
          <w:iCs/>
          <w:sz w:val="18"/>
          <w:szCs w:val="18"/>
        </w:rPr>
        <w:t>abilities, research shows</w:t>
      </w:r>
      <w:r>
        <w:rPr>
          <w:rStyle w:val="dnA"/>
          <w:rFonts w:ascii="Futura Lt BT" w:eastAsia="Futura Lt BT" w:hAnsi="Futura Lt BT" w:cs="Futura Lt BT"/>
          <w:sz w:val="18"/>
          <w:szCs w:val="18"/>
        </w:rPr>
        <w:t xml:space="preserve">, </w:t>
      </w:r>
      <w:r w:rsidR="00FD7247">
        <w:rPr>
          <w:rStyle w:val="dnA"/>
          <w:rFonts w:ascii="Futura Lt BT" w:eastAsia="Futura Lt BT" w:hAnsi="Futura Lt BT" w:cs="Futura Lt BT"/>
          <w:sz w:val="18"/>
          <w:szCs w:val="18"/>
        </w:rPr>
        <w:t>10 June 2015</w:t>
      </w:r>
      <w:r w:rsidR="00FD7247">
        <w:rPr>
          <w:rStyle w:val="dnA"/>
          <w:rFonts w:ascii="Futura Lt BT" w:eastAsia="Futura Lt BT" w:hAnsi="Futura Lt BT" w:cs="Futura Lt BT"/>
          <w:sz w:val="18"/>
          <w:szCs w:val="18"/>
        </w:rPr>
        <w:t xml:space="preserve">, </w:t>
      </w:r>
      <w:r>
        <w:rPr>
          <w:rStyle w:val="dnA"/>
          <w:rFonts w:ascii="Futura Lt BT" w:eastAsia="Futura Lt BT" w:hAnsi="Futura Lt BT" w:cs="Futura Lt BT"/>
          <w:sz w:val="18"/>
          <w:szCs w:val="18"/>
        </w:rPr>
        <w:t xml:space="preserve">available at </w:t>
      </w:r>
      <w:hyperlink r:id="rId3" w:history="1">
        <w:r>
          <w:rPr>
            <w:rStyle w:val="Hyperlink2"/>
          </w:rPr>
          <w:t>http://www.theguardian.com/society/2015/jun/10/violence-much-more-severe-agains</w:t>
        </w:r>
        <w:r>
          <w:rPr>
            <w:rStyle w:val="Hyperlink2"/>
          </w:rPr>
          <w:t>t-women-with-disabilities-research-shows</w:t>
        </w:r>
      </w:hyperlink>
      <w:r>
        <w:rPr>
          <w:rStyle w:val="dnA"/>
          <w:rFonts w:ascii="Futura Lt BT" w:eastAsia="Futura Lt BT" w:hAnsi="Futura Lt BT" w:cs="Futura Lt BT"/>
          <w:sz w:val="18"/>
          <w:szCs w:val="18"/>
        </w:rPr>
        <w:t>).</w:t>
      </w:r>
      <w:proofErr w:type="gramEnd"/>
    </w:p>
  </w:footnote>
  <w:footnote w:id="10">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Supra</w:t>
      </w:r>
      <w:r>
        <w:rPr>
          <w:rStyle w:val="dnA"/>
          <w:rFonts w:ascii="Futura Lt BT" w:eastAsia="Futura Lt BT" w:hAnsi="Futura Lt BT" w:cs="Futura Lt BT"/>
          <w:sz w:val="18"/>
          <w:szCs w:val="18"/>
        </w:rPr>
        <w:t xml:space="preserve"> note 1, A/67/227, report of 3 August 2012</w:t>
      </w:r>
      <w:r>
        <w:rPr>
          <w:rStyle w:val="dnA"/>
          <w:rFonts w:ascii="Futura Lt BT" w:eastAsia="Futura Lt BT" w:hAnsi="Futura Lt BT" w:cs="Futura Lt BT"/>
          <w:sz w:val="18"/>
          <w:szCs w:val="18"/>
          <w:lang w:val="pt-PT"/>
        </w:rPr>
        <w:t xml:space="preserve">, para. </w:t>
      </w:r>
      <w:r>
        <w:rPr>
          <w:rStyle w:val="dnA"/>
          <w:rFonts w:ascii="Futura Lt BT" w:eastAsia="Futura Lt BT" w:hAnsi="Futura Lt BT" w:cs="Futura Lt BT"/>
          <w:sz w:val="18"/>
          <w:szCs w:val="18"/>
          <w:lang w:val="pt-PT"/>
        </w:rPr>
        <w:t>30.</w:t>
      </w:r>
    </w:p>
  </w:footnote>
  <w:footnote w:id="11">
    <w:p w:rsidR="00A244B0" w:rsidRDefault="00271384">
      <w:pPr>
        <w:pStyle w:val="FootnoteText"/>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w:t>
      </w:r>
      <w:proofErr w:type="spellStart"/>
      <w:proofErr w:type="gramStart"/>
      <w:r>
        <w:rPr>
          <w:rStyle w:val="dnA"/>
          <w:rFonts w:ascii="Futura Lt BT" w:eastAsia="Futura Lt BT" w:hAnsi="Futura Lt BT" w:cs="Futura Lt BT"/>
          <w:i/>
          <w:iCs/>
          <w:sz w:val="18"/>
          <w:szCs w:val="18"/>
        </w:rPr>
        <w:t>Stanev</w:t>
      </w:r>
      <w:proofErr w:type="spellEnd"/>
      <w:r>
        <w:rPr>
          <w:rStyle w:val="dnA"/>
          <w:rFonts w:ascii="Futura Lt BT" w:eastAsia="Futura Lt BT" w:hAnsi="Futura Lt BT" w:cs="Futura Lt BT"/>
          <w:i/>
          <w:iCs/>
          <w:sz w:val="18"/>
          <w:szCs w:val="18"/>
        </w:rPr>
        <w:t xml:space="preserve"> v. Bulgaria</w:t>
      </w:r>
      <w:r>
        <w:rPr>
          <w:rStyle w:val="dnA"/>
          <w:rFonts w:ascii="Futura Lt BT" w:eastAsia="Futura Lt BT" w:hAnsi="Futura Lt BT" w:cs="Futura Lt BT"/>
          <w:sz w:val="18"/>
          <w:szCs w:val="18"/>
        </w:rPr>
        <w:t>, 36760/06 (2012) ECHR 45, judgment 17 January 2012, para.</w:t>
      </w:r>
      <w:proofErr w:type="gramEnd"/>
      <w:r>
        <w:rPr>
          <w:rStyle w:val="dnA"/>
          <w:rFonts w:ascii="Futura Lt BT" w:eastAsia="Futura Lt BT" w:hAnsi="Futura Lt BT" w:cs="Futura Lt BT"/>
          <w:sz w:val="18"/>
          <w:szCs w:val="18"/>
        </w:rPr>
        <w:t xml:space="preserve"> 250.</w:t>
      </w:r>
    </w:p>
  </w:footnote>
  <w:footnote w:id="12">
    <w:p w:rsidR="00A244B0" w:rsidRDefault="00271384">
      <w:pPr>
        <w:pStyle w:val="FootnoteText"/>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For more details see Mental Disability Rights Initiative, </w:t>
      </w:r>
      <w:r>
        <w:rPr>
          <w:rStyle w:val="dnA"/>
          <w:rFonts w:ascii="Futura Lt BT" w:eastAsia="Futura Lt BT" w:hAnsi="Futura Lt BT" w:cs="Futura Lt BT"/>
          <w:i/>
          <w:iCs/>
          <w:sz w:val="18"/>
          <w:szCs w:val="18"/>
        </w:rPr>
        <w:t>Human</w:t>
      </w:r>
      <w:r>
        <w:rPr>
          <w:rStyle w:val="dnA"/>
          <w:rFonts w:ascii="Futura Lt BT" w:eastAsia="Futura Lt BT" w:hAnsi="Futura Lt BT" w:cs="Futura Lt BT"/>
          <w:i/>
          <w:iCs/>
          <w:sz w:val="18"/>
          <w:szCs w:val="18"/>
        </w:rPr>
        <w:t xml:space="preserve"> rights oversight in institutional settings</w:t>
      </w:r>
      <w:r>
        <w:rPr>
          <w:rStyle w:val="dnA"/>
          <w:rFonts w:ascii="Futura Lt BT" w:eastAsia="Futura Lt BT" w:hAnsi="Futura Lt BT" w:cs="Futura Lt BT"/>
          <w:sz w:val="18"/>
          <w:szCs w:val="18"/>
        </w:rPr>
        <w:t xml:space="preserve">, 2012, available at </w:t>
      </w:r>
      <w:hyperlink r:id="rId4" w:history="1">
        <w:r>
          <w:rPr>
            <w:rStyle w:val="Hyperlink2"/>
          </w:rPr>
          <w:t>http://www.mdri-s.org/wp-content/uploads/2013/10/human-rights-oversight-in-ins</w:t>
        </w:r>
        <w:r>
          <w:rPr>
            <w:rStyle w:val="Hyperlink2"/>
          </w:rPr>
          <w:t>titutional-settings.pdf</w:t>
        </w:r>
      </w:hyperlink>
      <w:r>
        <w:rPr>
          <w:rStyle w:val="dnA"/>
          <w:rFonts w:ascii="Futura Lt BT" w:eastAsia="Futura Lt BT" w:hAnsi="Futura Lt BT" w:cs="Futura Lt BT"/>
          <w:sz w:val="18"/>
          <w:szCs w:val="18"/>
        </w:rPr>
        <w:t xml:space="preserve">. </w:t>
      </w:r>
    </w:p>
  </w:footnote>
  <w:footnote w:id="13">
    <w:p w:rsidR="00A244B0" w:rsidRDefault="00271384">
      <w:pPr>
        <w:pStyle w:val="FootnoteText"/>
      </w:pPr>
      <w:r>
        <w:rPr>
          <w:rStyle w:val="dnA"/>
          <w:rFonts w:ascii="Futura Lt BT" w:eastAsia="Futura Lt BT" w:hAnsi="Futura Lt BT" w:cs="Futura Lt BT"/>
          <w:vertAlign w:val="superscript"/>
        </w:rPr>
        <w:footnoteRef/>
      </w:r>
      <w:proofErr w:type="gramStart"/>
      <w:r>
        <w:rPr>
          <w:rStyle w:val="dnA"/>
          <w:rFonts w:ascii="Futura Lt BT" w:eastAsia="Futura Lt BT" w:hAnsi="Futura Lt BT" w:cs="Futura Lt BT"/>
          <w:sz w:val="18"/>
          <w:szCs w:val="18"/>
        </w:rPr>
        <w:t xml:space="preserve">(2011). </w:t>
      </w:r>
      <w:r>
        <w:rPr>
          <w:rStyle w:val="dnA"/>
          <w:rFonts w:ascii="Futura Lt BT" w:eastAsia="Futura Lt BT" w:hAnsi="Futura Lt BT" w:cs="Futura Lt BT"/>
          <w:i/>
          <w:iCs/>
          <w:sz w:val="18"/>
          <w:szCs w:val="18"/>
        </w:rPr>
        <w:t xml:space="preserve">Out of </w:t>
      </w:r>
      <w:proofErr w:type="spellStart"/>
      <w:r>
        <w:rPr>
          <w:rStyle w:val="dnA"/>
          <w:rFonts w:ascii="Futura Lt BT" w:eastAsia="Futura Lt BT" w:hAnsi="Futura Lt BT" w:cs="Futura Lt BT"/>
          <w:i/>
          <w:iCs/>
          <w:sz w:val="18"/>
          <w:szCs w:val="18"/>
        </w:rPr>
        <w:t>Sight.Human</w:t>
      </w:r>
      <w:proofErr w:type="spellEnd"/>
      <w:r>
        <w:rPr>
          <w:rStyle w:val="dnA"/>
          <w:rFonts w:ascii="Futura Lt BT" w:eastAsia="Futura Lt BT" w:hAnsi="Futura Lt BT" w:cs="Futura Lt BT"/>
          <w:i/>
          <w:iCs/>
          <w:sz w:val="18"/>
          <w:szCs w:val="18"/>
        </w:rPr>
        <w:t xml:space="preserve"> Rights in Psychiatric Hospitals and Social Care Institutions in Croatia</w:t>
      </w:r>
      <w:r>
        <w:rPr>
          <w:rStyle w:val="dnA"/>
          <w:rFonts w:ascii="Futura Lt BT" w:eastAsia="Futura Lt BT" w:hAnsi="Futura Lt BT" w:cs="Futura Lt BT"/>
          <w:sz w:val="18"/>
          <w:szCs w:val="18"/>
        </w:rPr>
        <w:t>.</w:t>
      </w:r>
      <w:proofErr w:type="gramEnd"/>
      <w:r>
        <w:rPr>
          <w:rStyle w:val="dnA"/>
          <w:rFonts w:ascii="Futura Lt BT" w:eastAsia="Futura Lt BT" w:hAnsi="Futura Lt BT" w:cs="Futura Lt BT"/>
          <w:sz w:val="18"/>
          <w:szCs w:val="18"/>
        </w:rPr>
        <w:t xml:space="preserve"> Mental Disability Advocacy Center and the Association for Social Affirmation of People with Mental Disabilities (</w:t>
      </w:r>
      <w:proofErr w:type="gramStart"/>
      <w:r>
        <w:rPr>
          <w:rStyle w:val="dnA"/>
          <w:rFonts w:ascii="Futura Lt BT" w:eastAsia="Futura Lt BT" w:hAnsi="Futura Lt BT" w:cs="Futura Lt BT"/>
          <w:sz w:val="18"/>
          <w:szCs w:val="18"/>
        </w:rPr>
        <w:t>SHINE),</w:t>
      </w:r>
      <w:proofErr w:type="gramEnd"/>
      <w:r>
        <w:rPr>
          <w:rStyle w:val="dnA"/>
          <w:rFonts w:ascii="Futura Lt BT" w:eastAsia="Futura Lt BT" w:hAnsi="Futura Lt BT" w:cs="Futura Lt BT"/>
          <w:sz w:val="18"/>
          <w:szCs w:val="18"/>
        </w:rPr>
        <w:t xml:space="preserve"> p. 58</w:t>
      </w:r>
      <w:r>
        <w:rPr>
          <w:rStyle w:val="dnA"/>
          <w:rFonts w:ascii="Futura Lt BT" w:eastAsia="Futura Lt BT" w:hAnsi="Futura Lt BT" w:cs="Futura Lt BT"/>
          <w:sz w:val="18"/>
          <w:szCs w:val="18"/>
        </w:rPr>
        <w:t>.</w:t>
      </w:r>
    </w:p>
  </w:footnote>
  <w:footnote w:id="14">
    <w:p w:rsidR="00A244B0" w:rsidRDefault="00271384">
      <w:pPr>
        <w:pStyle w:val="FootnoteText"/>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Human Rights Watch, </w:t>
      </w:r>
      <w:r>
        <w:rPr>
          <w:rStyle w:val="dnA"/>
          <w:rFonts w:ascii="Futura Lt BT" w:eastAsia="Futura Lt BT" w:hAnsi="Futura Lt BT" w:cs="Futura Lt BT"/>
          <w:i/>
          <w:iCs/>
          <w:sz w:val="18"/>
          <w:szCs w:val="18"/>
        </w:rPr>
        <w:t>Human Rights for Women and Children with Disabilities</w:t>
      </w:r>
      <w:r>
        <w:rPr>
          <w:rStyle w:val="dnA"/>
          <w:rFonts w:ascii="Futura Lt BT" w:eastAsia="Futura Lt BT" w:hAnsi="Futura Lt BT" w:cs="Futura Lt BT"/>
          <w:sz w:val="18"/>
          <w:szCs w:val="18"/>
        </w:rPr>
        <w:t xml:space="preserve"> (2012), p. 14.</w:t>
      </w:r>
    </w:p>
  </w:footnote>
  <w:footnote w:id="15">
    <w:p w:rsidR="00A244B0" w:rsidRDefault="00271384">
      <w:pPr>
        <w:pStyle w:val="FootnoteText"/>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European Parliament, </w:t>
      </w:r>
      <w:r>
        <w:rPr>
          <w:rStyle w:val="dnA"/>
          <w:rFonts w:ascii="Futura Lt BT" w:eastAsia="Futura Lt BT" w:hAnsi="Futura Lt BT" w:cs="Futura Lt BT"/>
          <w:i/>
          <w:iCs/>
          <w:sz w:val="18"/>
          <w:szCs w:val="18"/>
        </w:rPr>
        <w:t>Report on the situation of minority women in the European Union</w:t>
      </w:r>
      <w:r>
        <w:rPr>
          <w:rStyle w:val="dnA"/>
          <w:rFonts w:ascii="Futura Lt BT" w:eastAsia="Futura Lt BT" w:hAnsi="Futura Lt BT" w:cs="Futura Lt BT"/>
          <w:sz w:val="18"/>
          <w:szCs w:val="18"/>
        </w:rPr>
        <w:t xml:space="preserve"> (2003/2109(INI)), pp. 13.</w:t>
      </w:r>
    </w:p>
  </w:footnote>
  <w:footnote w:id="16">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Supra</w:t>
      </w:r>
      <w:r>
        <w:rPr>
          <w:rStyle w:val="dnA"/>
          <w:rFonts w:ascii="Futura Lt BT" w:eastAsia="Futura Lt BT" w:hAnsi="Futura Lt BT" w:cs="Futura Lt BT"/>
          <w:sz w:val="18"/>
          <w:szCs w:val="18"/>
        </w:rPr>
        <w:t xml:space="preserve"> note 1, A/67/227, report of 3 August 2012,</w:t>
      </w:r>
      <w:r>
        <w:rPr>
          <w:rStyle w:val="dnA"/>
          <w:rFonts w:ascii="Futura Lt BT" w:eastAsia="Futura Lt BT" w:hAnsi="Futura Lt BT" w:cs="Futura Lt BT"/>
          <w:sz w:val="18"/>
          <w:szCs w:val="18"/>
        </w:rPr>
        <w:t xml:space="preserve"> para. 30.</w:t>
      </w:r>
    </w:p>
  </w:footnote>
  <w:footnote w:id="17">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CEDAW/C/2010/47/GC.1, para. 37.</w:t>
      </w:r>
    </w:p>
  </w:footnote>
  <w:footnote w:id="18">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Supra</w:t>
      </w:r>
      <w:r>
        <w:rPr>
          <w:rStyle w:val="dnA"/>
          <w:rFonts w:ascii="Futura Lt BT" w:eastAsia="Futura Lt BT" w:hAnsi="Futura Lt BT" w:cs="Futura Lt BT"/>
          <w:sz w:val="18"/>
          <w:szCs w:val="18"/>
        </w:rPr>
        <w:t xml:space="preserve"> note 1, A/67/227, report of 3 August 2012</w:t>
      </w:r>
      <w:r>
        <w:rPr>
          <w:rStyle w:val="dnA"/>
          <w:rFonts w:ascii="Futura Lt BT" w:eastAsia="Futura Lt BT" w:hAnsi="Futura Lt BT" w:cs="Futura Lt BT"/>
          <w:sz w:val="18"/>
          <w:szCs w:val="18"/>
          <w:lang w:val="pt-PT"/>
        </w:rPr>
        <w:t xml:space="preserve">, para. </w:t>
      </w:r>
      <w:r>
        <w:rPr>
          <w:rStyle w:val="dnA"/>
          <w:rFonts w:ascii="Futura Lt BT" w:eastAsia="Futura Lt BT" w:hAnsi="Futura Lt BT" w:cs="Futura Lt BT"/>
          <w:sz w:val="18"/>
          <w:szCs w:val="18"/>
          <w:lang w:val="pt-PT"/>
        </w:rPr>
        <w:t>38.</w:t>
      </w:r>
    </w:p>
  </w:footnote>
  <w:footnote w:id="19">
    <w:p w:rsidR="00A244B0" w:rsidRDefault="00271384">
      <w:pPr>
        <w:pStyle w:val="FootnoteText"/>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Article 19 CRPD</w:t>
      </w:r>
    </w:p>
  </w:footnote>
  <w:footnote w:id="20">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CRPD Committee, Concluding Observations: Czech Republic, </w:t>
      </w:r>
      <w:r>
        <w:rPr>
          <w:rStyle w:val="dnA"/>
          <w:rFonts w:ascii="Futura Lt BT" w:eastAsia="Futura Lt BT" w:hAnsi="Futura Lt BT" w:cs="Futura Lt BT"/>
          <w:sz w:val="18"/>
          <w:szCs w:val="18"/>
          <w:lang w:val="pt-PT"/>
        </w:rPr>
        <w:t xml:space="preserve">CRPD/C/CZE/CO/1, 15 May 2015, para. </w:t>
      </w:r>
      <w:r>
        <w:rPr>
          <w:rStyle w:val="dnA"/>
          <w:rFonts w:ascii="Futura Lt BT" w:eastAsia="Futura Lt BT" w:hAnsi="Futura Lt BT" w:cs="Futura Lt BT"/>
          <w:sz w:val="18"/>
          <w:szCs w:val="18"/>
          <w:lang w:val="pt-PT"/>
        </w:rPr>
        <w:t>39.</w:t>
      </w:r>
    </w:p>
  </w:footnote>
  <w:footnote w:id="21">
    <w:p w:rsidR="00A244B0" w:rsidRDefault="00271384">
      <w:pPr>
        <w:pStyle w:val="FootnoteText"/>
      </w:pPr>
      <w:r>
        <w:rPr>
          <w:rStyle w:val="dnA"/>
          <w:rFonts w:ascii="Futura Lt BT" w:eastAsia="Futura Lt BT" w:hAnsi="Futura Lt BT" w:cs="Futura Lt BT"/>
          <w:sz w:val="24"/>
          <w:szCs w:val="24"/>
          <w:vertAlign w:val="superscript"/>
          <w:lang w:val="pt-PT"/>
        </w:rPr>
        <w:footnoteRef/>
      </w:r>
      <w:r>
        <w:rPr>
          <w:rStyle w:val="dnA"/>
          <w:rFonts w:ascii="Futura Lt BT" w:eastAsia="Futura Lt BT" w:hAnsi="Futura Lt BT" w:cs="Futura Lt BT"/>
          <w:sz w:val="18"/>
          <w:szCs w:val="18"/>
          <w:lang w:val="pt-PT"/>
        </w:rPr>
        <w:t xml:space="preserve"> </w:t>
      </w:r>
      <w:r>
        <w:rPr>
          <w:rStyle w:val="dnA"/>
          <w:rFonts w:ascii="Futura Lt BT" w:eastAsia="Futura Lt BT" w:hAnsi="Futura Lt BT" w:cs="Futura Lt BT"/>
          <w:i/>
          <w:iCs/>
          <w:sz w:val="18"/>
          <w:szCs w:val="18"/>
          <w:lang w:val="pt-PT"/>
        </w:rPr>
        <w:t>Ibid.</w:t>
      </w:r>
      <w:r>
        <w:rPr>
          <w:rStyle w:val="dnA"/>
          <w:rFonts w:ascii="Futura Lt BT" w:eastAsia="Futura Lt BT" w:hAnsi="Futura Lt BT" w:cs="Futura Lt BT"/>
          <w:sz w:val="18"/>
          <w:szCs w:val="18"/>
          <w:lang w:val="pt-PT"/>
        </w:rPr>
        <w:t xml:space="preserve">, </w:t>
      </w:r>
      <w:r>
        <w:rPr>
          <w:rStyle w:val="dnA"/>
          <w:rFonts w:ascii="Futura Lt BT" w:eastAsia="Futura Lt BT" w:hAnsi="Futura Lt BT" w:cs="Futura Lt BT"/>
          <w:sz w:val="18"/>
          <w:szCs w:val="18"/>
          <w:lang w:val="pt-PT"/>
        </w:rPr>
        <w:t xml:space="preserve">para. 38. </w:t>
      </w:r>
    </w:p>
  </w:footnote>
  <w:footnote w:id="22">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CEDAW Committee, General Recommendation No. 27 on older women and protection of their human rights, CEDAW/C/2010/47/GC.1, 19 October 2010, para. 37.</w:t>
      </w:r>
    </w:p>
  </w:footnote>
  <w:footnote w:id="23">
    <w:p w:rsidR="00A244B0" w:rsidRDefault="00271384">
      <w:pPr>
        <w:pStyle w:val="FootnoteText"/>
        <w:rPr>
          <w:rStyle w:val="dnA"/>
          <w:rFonts w:ascii="Futura Lt BT" w:eastAsia="Futura Lt BT" w:hAnsi="Futura Lt BT" w:cs="Futura Lt BT"/>
          <w:sz w:val="18"/>
          <w:szCs w:val="18"/>
        </w:rPr>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The action plan is available at:</w:t>
      </w:r>
    </w:p>
    <w:p w:rsidR="00A244B0" w:rsidRDefault="00271384">
      <w:pPr>
        <w:pStyle w:val="FootnoteText"/>
      </w:pPr>
      <w:hyperlink r:id="rId5" w:history="1">
        <w:r>
          <w:rPr>
            <w:rStyle w:val="Hyperlink1"/>
          </w:rPr>
          <w:t>http://www.mpsv.cz/files/clanky/14540/III_vlada__Akcni_plan_staruti_.pdf</w:t>
        </w:r>
      </w:hyperlink>
    </w:p>
  </w:footnote>
  <w:footnote w:id="24">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Human Rights Council, The right to education of persons with disabilities: Report of the Special Rapporteur on the Right to Education, A/HRC/4/29, 19 February 2007,</w:t>
      </w:r>
      <w:r>
        <w:rPr>
          <w:rStyle w:val="dnA"/>
          <w:rFonts w:ascii="Futura Lt BT" w:eastAsia="Futura Lt BT" w:hAnsi="Futura Lt BT" w:cs="Futura Lt BT"/>
          <w:sz w:val="18"/>
          <w:szCs w:val="18"/>
        </w:rPr>
        <w:t xml:space="preserve"> para. 7. </w:t>
      </w:r>
    </w:p>
  </w:footnote>
  <w:footnote w:id="25">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Statistické</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ročenky</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školství</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výkonové</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ukazovatele</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roky</w:t>
      </w:r>
      <w:proofErr w:type="spellEnd"/>
      <w:r>
        <w:rPr>
          <w:rStyle w:val="dnA"/>
          <w:rFonts w:ascii="Futura Lt BT" w:eastAsia="Futura Lt BT" w:hAnsi="Futura Lt BT" w:cs="Futura Lt BT"/>
          <w:sz w:val="18"/>
          <w:szCs w:val="18"/>
        </w:rPr>
        <w:t xml:space="preserve"> 2010/2011, 2011/2012, 2012/2013, 2013/2014, 2014/2015, </w:t>
      </w:r>
      <w:proofErr w:type="spellStart"/>
      <w:r>
        <w:rPr>
          <w:rStyle w:val="dnA"/>
          <w:rFonts w:ascii="Futura Lt BT" w:eastAsia="Futura Lt BT" w:hAnsi="Futura Lt BT" w:cs="Futura Lt BT"/>
          <w:sz w:val="18"/>
          <w:szCs w:val="18"/>
        </w:rPr>
        <w:t>kapitola</w:t>
      </w:r>
      <w:proofErr w:type="spellEnd"/>
      <w:r>
        <w:rPr>
          <w:rStyle w:val="dnA"/>
          <w:rFonts w:ascii="Futura Lt BT" w:eastAsia="Futura Lt BT" w:hAnsi="Futura Lt BT" w:cs="Futura Lt BT"/>
          <w:sz w:val="18"/>
          <w:szCs w:val="18"/>
        </w:rPr>
        <w:t xml:space="preserve"> C </w:t>
      </w:r>
      <w:proofErr w:type="spellStart"/>
      <w:r>
        <w:rPr>
          <w:rStyle w:val="dnA"/>
          <w:rFonts w:ascii="Futura Lt BT" w:eastAsia="Futura Lt BT" w:hAnsi="Futura Lt BT" w:cs="Futura Lt BT"/>
          <w:sz w:val="18"/>
          <w:szCs w:val="18"/>
        </w:rPr>
        <w:t>Základní</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vzd</w:t>
      </w:r>
      <w:r>
        <w:rPr>
          <w:rStyle w:val="dnA"/>
          <w:rFonts w:ascii="Arial" w:hAnsi="Arial"/>
          <w:sz w:val="18"/>
          <w:szCs w:val="18"/>
        </w:rPr>
        <w:t>ě</w:t>
      </w:r>
      <w:r>
        <w:rPr>
          <w:rStyle w:val="dnA"/>
          <w:rFonts w:ascii="Futura Lt BT" w:eastAsia="Futura Lt BT" w:hAnsi="Futura Lt BT" w:cs="Futura Lt BT"/>
          <w:sz w:val="18"/>
          <w:szCs w:val="18"/>
        </w:rPr>
        <w:t>lávání</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Tabulka</w:t>
      </w:r>
      <w:proofErr w:type="spellEnd"/>
      <w:r>
        <w:rPr>
          <w:rStyle w:val="dnA"/>
          <w:rFonts w:ascii="Futura Lt BT" w:eastAsia="Futura Lt BT" w:hAnsi="Futura Lt BT" w:cs="Futura Lt BT"/>
          <w:sz w:val="18"/>
          <w:szCs w:val="18"/>
        </w:rPr>
        <w:t xml:space="preserve"> C1.7.1 </w:t>
      </w:r>
      <w:proofErr w:type="spellStart"/>
      <w:r>
        <w:rPr>
          <w:rStyle w:val="dnA"/>
          <w:rFonts w:ascii="Futura Lt BT" w:eastAsia="Futura Lt BT" w:hAnsi="Futura Lt BT" w:cs="Futura Lt BT"/>
          <w:sz w:val="18"/>
          <w:szCs w:val="18"/>
        </w:rPr>
        <w:t>Základní</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vzd</w:t>
      </w:r>
      <w:r>
        <w:rPr>
          <w:rStyle w:val="dnA"/>
          <w:rFonts w:ascii="Arial" w:hAnsi="Arial"/>
          <w:sz w:val="18"/>
          <w:szCs w:val="18"/>
        </w:rPr>
        <w:t>ě</w:t>
      </w:r>
      <w:r>
        <w:rPr>
          <w:rStyle w:val="dnA"/>
          <w:rFonts w:ascii="Futura Lt BT" w:eastAsia="Futura Lt BT" w:hAnsi="Futura Lt BT" w:cs="Futura Lt BT"/>
          <w:sz w:val="18"/>
          <w:szCs w:val="18"/>
        </w:rPr>
        <w:t>lávání</w:t>
      </w:r>
      <w:proofErr w:type="spellEnd"/>
      <w:r>
        <w:rPr>
          <w:rStyle w:val="dnA"/>
          <w:rFonts w:ascii="Futura Lt BT" w:eastAsia="Futura Lt BT" w:hAnsi="Futura Lt BT" w:cs="Futura Lt BT"/>
          <w:sz w:val="18"/>
          <w:szCs w:val="18"/>
        </w:rPr>
        <w:t xml:space="preserve"> –  </w:t>
      </w:r>
      <w:proofErr w:type="spellStart"/>
      <w:r>
        <w:rPr>
          <w:rStyle w:val="dnA"/>
          <w:rFonts w:ascii="Futura Lt BT" w:eastAsia="Futura Lt BT" w:hAnsi="Futura Lt BT" w:cs="Futura Lt BT"/>
          <w:sz w:val="18"/>
          <w:szCs w:val="18"/>
        </w:rPr>
        <w:t>žáci</w:t>
      </w:r>
      <w:proofErr w:type="spellEnd"/>
      <w:r>
        <w:rPr>
          <w:rStyle w:val="dnA"/>
          <w:rFonts w:ascii="Futura Lt BT" w:eastAsia="Futura Lt BT" w:hAnsi="Futura Lt BT" w:cs="Futura Lt BT"/>
          <w:sz w:val="18"/>
          <w:szCs w:val="18"/>
        </w:rPr>
        <w:t>/</w:t>
      </w:r>
      <w:proofErr w:type="spellStart"/>
      <w:r>
        <w:rPr>
          <w:rStyle w:val="dnA"/>
          <w:rFonts w:ascii="Futura Lt BT" w:eastAsia="Futura Lt BT" w:hAnsi="Futura Lt BT" w:cs="Futura Lt BT"/>
          <w:sz w:val="18"/>
          <w:szCs w:val="18"/>
        </w:rPr>
        <w:t>dívky</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podle</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druhu</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postižení</w:t>
      </w:r>
      <w:proofErr w:type="spellEnd"/>
      <w:r>
        <w:rPr>
          <w:rStyle w:val="dnA"/>
          <w:rFonts w:ascii="Futura Lt BT" w:eastAsia="Futura Lt BT" w:hAnsi="Futura Lt BT" w:cs="Futura Lt BT"/>
          <w:sz w:val="18"/>
          <w:szCs w:val="18"/>
        </w:rPr>
        <w:t xml:space="preserve"> – </w:t>
      </w:r>
      <w:proofErr w:type="spellStart"/>
      <w:r>
        <w:rPr>
          <w:rStyle w:val="dnA"/>
          <w:rFonts w:ascii="Futura Lt BT" w:eastAsia="Futura Lt BT" w:hAnsi="Futura Lt BT" w:cs="Futura Lt BT"/>
          <w:sz w:val="18"/>
          <w:szCs w:val="18"/>
        </w:rPr>
        <w:t>podle</w:t>
      </w:r>
      <w:proofErr w:type="spellEnd"/>
      <w:r>
        <w:rPr>
          <w:rStyle w:val="dnA"/>
          <w:rFonts w:ascii="Futura Lt BT" w:eastAsia="Futura Lt BT" w:hAnsi="Futura Lt BT" w:cs="Futura Lt BT"/>
          <w:sz w:val="18"/>
          <w:szCs w:val="18"/>
        </w:rPr>
        <w:t xml:space="preserve"> </w:t>
      </w:r>
      <w:proofErr w:type="spellStart"/>
      <w:r>
        <w:rPr>
          <w:rStyle w:val="dnA"/>
          <w:rFonts w:ascii="Futura Lt BT" w:eastAsia="Futura Lt BT" w:hAnsi="Futura Lt BT" w:cs="Futura Lt BT"/>
          <w:sz w:val="18"/>
          <w:szCs w:val="18"/>
        </w:rPr>
        <w:t>území</w:t>
      </w:r>
      <w:proofErr w:type="spellEnd"/>
      <w:r>
        <w:rPr>
          <w:rStyle w:val="dnA"/>
          <w:rFonts w:ascii="Futura Lt BT" w:eastAsia="Futura Lt BT" w:hAnsi="Futura Lt BT" w:cs="Futura Lt BT"/>
          <w:sz w:val="18"/>
          <w:szCs w:val="18"/>
        </w:rPr>
        <w:t>, available onl</w:t>
      </w:r>
      <w:r>
        <w:rPr>
          <w:rStyle w:val="dnA"/>
          <w:rFonts w:ascii="Futura Lt BT" w:eastAsia="Futura Lt BT" w:hAnsi="Futura Lt BT" w:cs="Futura Lt BT"/>
          <w:sz w:val="18"/>
          <w:szCs w:val="18"/>
        </w:rPr>
        <w:t xml:space="preserve">ine at: </w:t>
      </w:r>
      <w:hyperlink r:id="rId6" w:history="1">
        <w:r>
          <w:rPr>
            <w:rStyle w:val="Hyperlink2"/>
          </w:rPr>
          <w:t>http://www.msmt.cz/vzdelavani/skolstvi-v-cr/statistika-skolstvi/statisticka-rocenka-skolstvi-vykonove-ukazatele</w:t>
        </w:r>
      </w:hyperlink>
      <w:r>
        <w:rPr>
          <w:rStyle w:val="dnA"/>
          <w:rFonts w:ascii="Futura Lt BT" w:eastAsia="Futura Lt BT" w:hAnsi="Futura Lt BT" w:cs="Futura Lt BT"/>
          <w:sz w:val="18"/>
          <w:szCs w:val="18"/>
        </w:rPr>
        <w:t xml:space="preserve">. </w:t>
      </w:r>
    </w:p>
  </w:footnote>
  <w:footnote w:id="26">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BBC N</w:t>
      </w:r>
      <w:r>
        <w:rPr>
          <w:rStyle w:val="dnA"/>
          <w:rFonts w:ascii="Futura Lt BT" w:eastAsia="Futura Lt BT" w:hAnsi="Futura Lt BT" w:cs="Futura Lt BT"/>
          <w:sz w:val="18"/>
          <w:szCs w:val="18"/>
        </w:rPr>
        <w:t>ews, 28 October 2014, Roma complain of Czech school segregation, available at http://www.bbc.com/news/world-europe-29742282</w:t>
      </w:r>
    </w:p>
  </w:footnote>
  <w:footnote w:id="27">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Human Rights Council, Thematic study on the rights of persons with disabilities to education: Report of the Office of the United N</w:t>
      </w:r>
      <w:r>
        <w:rPr>
          <w:rStyle w:val="dnA"/>
          <w:rFonts w:ascii="Futura Lt BT" w:eastAsia="Futura Lt BT" w:hAnsi="Futura Lt BT" w:cs="Futura Lt BT"/>
          <w:sz w:val="18"/>
          <w:szCs w:val="18"/>
        </w:rPr>
        <w:t xml:space="preserve">ations High Commissioner for Human Rights, A/HRC/25/29, 18 December 2013, para. 6. </w:t>
      </w:r>
    </w:p>
  </w:footnote>
  <w:footnote w:id="28">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Human Rights Council, The right to education of persons with disabilities: Report of the Special Rapporteur on the Right to Education, A/HRC/4/29, 19 February 2007, para.</w:t>
      </w:r>
      <w:r>
        <w:rPr>
          <w:rStyle w:val="dnA"/>
          <w:rFonts w:ascii="Futura Lt BT" w:eastAsia="Futura Lt BT" w:hAnsi="Futura Lt BT" w:cs="Futura Lt BT"/>
          <w:sz w:val="18"/>
          <w:szCs w:val="18"/>
        </w:rPr>
        <w:t xml:space="preserve"> 7. </w:t>
      </w:r>
    </w:p>
  </w:footnote>
  <w:footnote w:id="29">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CEDAW Committee, General Recommendation No. 28 on the Core Obligations of States Parties under Article 2 of the Convention on the Elimination of Discrimination Against Women, CEDAW/C/GC/28, 16 December 2010, para. 21. </w:t>
      </w:r>
    </w:p>
  </w:footnote>
  <w:footnote w:id="30">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Report of the Committee on the Elimination of Discrimination </w:t>
      </w:r>
      <w:proofErr w:type="gramStart"/>
      <w:r>
        <w:rPr>
          <w:rStyle w:val="dnA"/>
          <w:rFonts w:ascii="Futura Lt BT" w:eastAsia="Futura Lt BT" w:hAnsi="Futura Lt BT" w:cs="Futura Lt BT"/>
          <w:sz w:val="18"/>
          <w:szCs w:val="18"/>
        </w:rPr>
        <w:t>Against</w:t>
      </w:r>
      <w:proofErr w:type="gramEnd"/>
      <w:r>
        <w:rPr>
          <w:rStyle w:val="dnA"/>
          <w:rFonts w:ascii="Futura Lt BT" w:eastAsia="Futura Lt BT" w:hAnsi="Futura Lt BT" w:cs="Futura Lt BT"/>
          <w:sz w:val="18"/>
          <w:szCs w:val="18"/>
        </w:rPr>
        <w:t xml:space="preserve"> Women, U.N. Doc. A/46/38, 12 April 1994/</w:t>
      </w:r>
    </w:p>
  </w:footnote>
  <w:footnote w:id="31">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lang w:val="pt-PT"/>
        </w:rPr>
        <w:t>Ibid.</w:t>
      </w:r>
      <w:r>
        <w:rPr>
          <w:rStyle w:val="dnA"/>
          <w:rFonts w:ascii="Futura Lt BT" w:eastAsia="Futura Lt BT" w:hAnsi="Futura Lt BT" w:cs="Futura Lt BT"/>
          <w:sz w:val="18"/>
          <w:szCs w:val="18"/>
          <w:lang w:val="pt-PT"/>
        </w:rPr>
        <w:t xml:space="preserve">, para. 10. </w:t>
      </w:r>
    </w:p>
  </w:footnote>
  <w:footnote w:id="32">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i/>
          <w:iCs/>
          <w:sz w:val="18"/>
          <w:szCs w:val="18"/>
        </w:rPr>
        <w:t>Ibid</w:t>
      </w:r>
      <w:r>
        <w:rPr>
          <w:rStyle w:val="dnA"/>
          <w:rFonts w:ascii="Futura Lt BT" w:eastAsia="Futura Lt BT" w:hAnsi="Futura Lt BT" w:cs="Futura Lt BT"/>
          <w:sz w:val="18"/>
          <w:szCs w:val="18"/>
        </w:rPr>
        <w:t>.</w:t>
      </w:r>
      <w:r>
        <w:rPr>
          <w:rStyle w:val="dnA"/>
          <w:rFonts w:ascii="Futura Lt BT" w:eastAsia="Futura Lt BT" w:hAnsi="Futura Lt BT" w:cs="Futura Lt BT"/>
          <w:sz w:val="18"/>
          <w:szCs w:val="18"/>
          <w:lang w:val="pt-PT"/>
        </w:rPr>
        <w:t>,</w:t>
      </w:r>
      <w:proofErr w:type="gramEnd"/>
      <w:r>
        <w:rPr>
          <w:rStyle w:val="dnA"/>
          <w:rFonts w:ascii="Futura Lt BT" w:eastAsia="Futura Lt BT" w:hAnsi="Futura Lt BT" w:cs="Futura Lt BT"/>
          <w:sz w:val="18"/>
          <w:szCs w:val="18"/>
          <w:lang w:val="pt-PT"/>
        </w:rPr>
        <w:t xml:space="preserve"> para. 1</w:t>
      </w:r>
      <w:r>
        <w:rPr>
          <w:rStyle w:val="dnA"/>
          <w:rFonts w:ascii="Futura Lt BT" w:eastAsia="Futura Lt BT" w:hAnsi="Futura Lt BT" w:cs="Futura Lt BT"/>
          <w:sz w:val="18"/>
          <w:szCs w:val="18"/>
        </w:rPr>
        <w:t xml:space="preserve">9. </w:t>
      </w:r>
    </w:p>
  </w:footnote>
  <w:footnote w:id="33">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i/>
          <w:iCs/>
          <w:sz w:val="18"/>
          <w:szCs w:val="18"/>
        </w:rPr>
        <w:t>Ibid.</w:t>
      </w:r>
      <w:r>
        <w:rPr>
          <w:rStyle w:val="dnA"/>
          <w:rFonts w:ascii="Futura Lt BT" w:eastAsia="Futura Lt BT" w:hAnsi="Futura Lt BT" w:cs="Futura Lt BT"/>
          <w:sz w:val="18"/>
          <w:szCs w:val="18"/>
        </w:rPr>
        <w:t>,</w:t>
      </w:r>
      <w:proofErr w:type="gramEnd"/>
      <w:r>
        <w:rPr>
          <w:rStyle w:val="dnA"/>
          <w:rFonts w:ascii="Futura Lt BT" w:eastAsia="Futura Lt BT" w:hAnsi="Futura Lt BT" w:cs="Futura Lt BT"/>
          <w:sz w:val="18"/>
          <w:szCs w:val="18"/>
        </w:rPr>
        <w:t xml:space="preserve"> para. 10. </w:t>
      </w:r>
    </w:p>
  </w:footnote>
  <w:footnote w:id="34">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Human Rights Council, The right to education of persons with disabilities: Report of the Special Rapporteur on the Right to </w:t>
      </w:r>
      <w:proofErr w:type="gramStart"/>
      <w:r>
        <w:rPr>
          <w:rStyle w:val="dnA"/>
          <w:rFonts w:ascii="Futura Lt BT" w:eastAsia="Futura Lt BT" w:hAnsi="Futura Lt BT" w:cs="Futura Lt BT"/>
          <w:sz w:val="18"/>
          <w:szCs w:val="18"/>
        </w:rPr>
        <w:t>Education ,</w:t>
      </w:r>
      <w:proofErr w:type="gramEnd"/>
      <w:r>
        <w:rPr>
          <w:rStyle w:val="dnA"/>
          <w:rFonts w:ascii="Futura Lt BT" w:eastAsia="Futura Lt BT" w:hAnsi="Futura Lt BT" w:cs="Futura Lt BT"/>
          <w:sz w:val="18"/>
          <w:szCs w:val="18"/>
        </w:rPr>
        <w:t xml:space="preserve"> A/HRC/4/29, 19 February 2007, para. 26-33, p. 12-13.</w:t>
      </w:r>
    </w:p>
  </w:footnote>
  <w:footnote w:id="35">
    <w:p w:rsidR="00A244B0" w:rsidRDefault="00271384">
      <w:pPr>
        <w:pStyle w:val="FootnoteText"/>
      </w:pPr>
      <w:r>
        <w:rPr>
          <w:rStyle w:val="dnA"/>
          <w:rFonts w:ascii="Futura Lt BT" w:eastAsia="Futura Lt BT" w:hAnsi="Futura Lt BT" w:cs="Futura Lt BT"/>
          <w:sz w:val="24"/>
          <w:szCs w:val="24"/>
          <w:vertAlign w:val="superscript"/>
        </w:rPr>
        <w:footnoteRef/>
      </w:r>
      <w:r>
        <w:rPr>
          <w:rStyle w:val="dnA"/>
          <w:rFonts w:ascii="Futura Lt BT" w:eastAsia="Futura Lt BT" w:hAnsi="Futura Lt BT" w:cs="Futura Lt BT"/>
          <w:sz w:val="18"/>
          <w:szCs w:val="18"/>
        </w:rPr>
        <w:t xml:space="preserve"> CEDAW Committee, Concluding observations: Slovakia, CEDAW/C/SVK/</w:t>
      </w:r>
      <w:r>
        <w:rPr>
          <w:rStyle w:val="dnA"/>
          <w:rFonts w:ascii="Futura Lt BT" w:eastAsia="Futura Lt BT" w:hAnsi="Futura Lt BT" w:cs="Futura Lt BT"/>
          <w:sz w:val="18"/>
          <w:szCs w:val="18"/>
        </w:rPr>
        <w:t xml:space="preserve">CO/5-6, 20 November 2015, para. 27. </w:t>
      </w:r>
    </w:p>
  </w:footnote>
  <w:footnote w:id="36">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sz w:val="18"/>
          <w:szCs w:val="18"/>
        </w:rPr>
        <w:t>According to Article 673 of the Civil Code, a “</w:t>
      </w:r>
      <w:r>
        <w:rPr>
          <w:rStyle w:val="dnA"/>
          <w:rFonts w:ascii="Futura Lt BT" w:eastAsia="Futura Lt BT" w:hAnsi="Futura Lt BT" w:cs="Futura Lt BT"/>
          <w:i/>
          <w:iCs/>
          <w:sz w:val="18"/>
          <w:szCs w:val="18"/>
        </w:rPr>
        <w:t>person cannot enter into marriage if his or her capacity has been r</w:t>
      </w:r>
      <w:r>
        <w:rPr>
          <w:rStyle w:val="dnA"/>
          <w:rFonts w:ascii="Futura Lt BT" w:eastAsia="Futura Lt BT" w:hAnsi="Futura Lt BT" w:cs="Futura Lt BT"/>
          <w:i/>
          <w:iCs/>
          <w:sz w:val="18"/>
          <w:szCs w:val="18"/>
        </w:rPr>
        <w:t>e</w:t>
      </w:r>
      <w:r>
        <w:rPr>
          <w:rStyle w:val="dnA"/>
          <w:rFonts w:ascii="Futura Lt BT" w:eastAsia="Futura Lt BT" w:hAnsi="Futura Lt BT" w:cs="Futura Lt BT"/>
          <w:i/>
          <w:iCs/>
          <w:sz w:val="18"/>
          <w:szCs w:val="18"/>
        </w:rPr>
        <w:t>stricted in this respect</w:t>
      </w:r>
      <w:r>
        <w:rPr>
          <w:rStyle w:val="dnA"/>
          <w:rFonts w:ascii="Futura Lt BT" w:eastAsia="Futura Lt BT" w:hAnsi="Futura Lt BT" w:cs="Futura Lt BT"/>
          <w:sz w:val="18"/>
          <w:szCs w:val="18"/>
        </w:rPr>
        <w:t>”.</w:t>
      </w:r>
      <w:proofErr w:type="gramEnd"/>
      <w:r>
        <w:rPr>
          <w:rStyle w:val="dnA"/>
          <w:rFonts w:ascii="Futura Lt BT" w:eastAsia="Futura Lt BT" w:hAnsi="Futura Lt BT" w:cs="Futura Lt BT"/>
          <w:sz w:val="18"/>
          <w:szCs w:val="18"/>
        </w:rPr>
        <w:t xml:space="preserve"> The court can restrict a woman’s right to enter into marriage on the basis </w:t>
      </w:r>
      <w:r>
        <w:rPr>
          <w:rStyle w:val="dnA"/>
          <w:rFonts w:ascii="Futura Lt BT" w:eastAsia="Futura Lt BT" w:hAnsi="Futura Lt BT" w:cs="Futura Lt BT"/>
          <w:sz w:val="18"/>
          <w:szCs w:val="18"/>
        </w:rPr>
        <w:t>of her disability. Al</w:t>
      </w:r>
      <w:r>
        <w:rPr>
          <w:rStyle w:val="dnA"/>
          <w:rFonts w:ascii="Futura Lt BT" w:eastAsia="Futura Lt BT" w:hAnsi="Futura Lt BT" w:cs="Futura Lt BT"/>
          <w:sz w:val="18"/>
          <w:szCs w:val="18"/>
        </w:rPr>
        <w:t>t</w:t>
      </w:r>
      <w:r>
        <w:rPr>
          <w:rStyle w:val="dnA"/>
          <w:rFonts w:ascii="Futura Lt BT" w:eastAsia="Futura Lt BT" w:hAnsi="Futura Lt BT" w:cs="Futura Lt BT"/>
          <w:sz w:val="18"/>
          <w:szCs w:val="18"/>
        </w:rPr>
        <w:t xml:space="preserve">hough the Government does not make any statistics available, based on our direct experience, courts are frequently using this measure against young women with intellectual disabilities. </w:t>
      </w:r>
    </w:p>
  </w:footnote>
  <w:footnote w:id="37">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According to Article 865 (2) of the Civil Cod</w:t>
      </w:r>
      <w:r>
        <w:rPr>
          <w:rStyle w:val="dnA"/>
          <w:rFonts w:ascii="Futura Lt BT" w:eastAsia="Futura Lt BT" w:hAnsi="Futura Lt BT" w:cs="Futura Lt BT"/>
          <w:sz w:val="18"/>
          <w:szCs w:val="18"/>
        </w:rPr>
        <w:t>e, “</w:t>
      </w:r>
      <w:r>
        <w:rPr>
          <w:rStyle w:val="dnA"/>
          <w:rFonts w:ascii="Futura Lt BT" w:eastAsia="Futura Lt BT" w:hAnsi="Futura Lt BT" w:cs="Futura Lt BT"/>
          <w:i/>
          <w:iCs/>
          <w:sz w:val="18"/>
          <w:szCs w:val="18"/>
        </w:rPr>
        <w:t>the court deciding on restriction of legal capacity can decide also on parental responsibility</w:t>
      </w:r>
      <w:r>
        <w:rPr>
          <w:rStyle w:val="dnA"/>
          <w:rFonts w:ascii="Futura Lt BT" w:eastAsia="Futura Lt BT" w:hAnsi="Futura Lt BT" w:cs="Futura Lt BT"/>
          <w:sz w:val="18"/>
          <w:szCs w:val="18"/>
        </w:rPr>
        <w:t>”. Following this provision, when deciding on the restriction of legal capacity of a parent and usua</w:t>
      </w:r>
      <w:r>
        <w:rPr>
          <w:rStyle w:val="dnA"/>
          <w:rFonts w:ascii="Futura Lt BT" w:eastAsia="Futura Lt BT" w:hAnsi="Futura Lt BT" w:cs="Futura Lt BT"/>
          <w:sz w:val="18"/>
          <w:szCs w:val="18"/>
        </w:rPr>
        <w:t>l</w:t>
      </w:r>
      <w:r>
        <w:rPr>
          <w:rStyle w:val="dnA"/>
          <w:rFonts w:ascii="Futura Lt BT" w:eastAsia="Futura Lt BT" w:hAnsi="Futura Lt BT" w:cs="Futura Lt BT"/>
          <w:sz w:val="18"/>
          <w:szCs w:val="18"/>
        </w:rPr>
        <w:t xml:space="preserve">ly mother, the court is under an obligation to decide on </w:t>
      </w:r>
      <w:r>
        <w:rPr>
          <w:rStyle w:val="dnA"/>
          <w:rFonts w:ascii="Futura Lt BT" w:eastAsia="Futura Lt BT" w:hAnsi="Futura Lt BT" w:cs="Futura Lt BT"/>
          <w:sz w:val="18"/>
          <w:szCs w:val="18"/>
        </w:rPr>
        <w:t>parental responsibility. The definition of parental responsibility is set out in Article 858 of the Civil Code covers the care of the child in its entirety, including health care, education, child contact, etc. In practice, restrictions of parental respons</w:t>
      </w:r>
      <w:r>
        <w:rPr>
          <w:rStyle w:val="dnA"/>
          <w:rFonts w:ascii="Futura Lt BT" w:eastAsia="Futura Lt BT" w:hAnsi="Futura Lt BT" w:cs="Futura Lt BT"/>
          <w:sz w:val="18"/>
          <w:szCs w:val="18"/>
        </w:rPr>
        <w:t>ibility are made automatically when women with mental disabil</w:t>
      </w:r>
      <w:r>
        <w:rPr>
          <w:rStyle w:val="dnA"/>
          <w:rFonts w:ascii="Futura Lt BT" w:eastAsia="Futura Lt BT" w:hAnsi="Futura Lt BT" w:cs="Futura Lt BT"/>
          <w:sz w:val="18"/>
          <w:szCs w:val="18"/>
        </w:rPr>
        <w:t>i</w:t>
      </w:r>
      <w:r>
        <w:rPr>
          <w:rStyle w:val="dnA"/>
          <w:rFonts w:ascii="Futura Lt BT" w:eastAsia="Futura Lt BT" w:hAnsi="Futura Lt BT" w:cs="Futura Lt BT"/>
          <w:sz w:val="18"/>
          <w:szCs w:val="18"/>
        </w:rPr>
        <w:t xml:space="preserve">ties have their legal capacity restricted, and this is based on false and ungrounded assumptions that parents with mental disabilities are unfit to take care of a child. </w:t>
      </w:r>
    </w:p>
  </w:footnote>
  <w:footnote w:id="38">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CRPD Committee, Gener</w:t>
      </w:r>
      <w:r>
        <w:rPr>
          <w:rStyle w:val="dnA"/>
          <w:rFonts w:ascii="Futura Lt BT" w:eastAsia="Futura Lt BT" w:hAnsi="Futura Lt BT" w:cs="Futura Lt BT"/>
          <w:sz w:val="18"/>
          <w:szCs w:val="18"/>
        </w:rPr>
        <w:t>al Comment No. 1: Equal recognition before the law CRPD/C/GC/1, 19 May 2014, para. 8.</w:t>
      </w:r>
    </w:p>
  </w:footnote>
  <w:footnote w:id="39">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i/>
          <w:iCs/>
          <w:sz w:val="18"/>
          <w:szCs w:val="18"/>
        </w:rPr>
        <w:t>Ibid.</w:t>
      </w:r>
      <w:r>
        <w:rPr>
          <w:rStyle w:val="dnA"/>
          <w:rFonts w:ascii="Futura Lt BT" w:eastAsia="Futura Lt BT" w:hAnsi="Futura Lt BT" w:cs="Futura Lt BT"/>
          <w:sz w:val="18"/>
          <w:szCs w:val="18"/>
        </w:rPr>
        <w:t>,</w:t>
      </w:r>
      <w:proofErr w:type="gramEnd"/>
      <w:r>
        <w:rPr>
          <w:rStyle w:val="dnA"/>
          <w:rFonts w:ascii="Futura Lt BT" w:eastAsia="Futura Lt BT" w:hAnsi="Futura Lt BT" w:cs="Futura Lt BT"/>
          <w:sz w:val="18"/>
          <w:szCs w:val="18"/>
        </w:rPr>
        <w:t xml:space="preserve"> para. 31. </w:t>
      </w:r>
    </w:p>
  </w:footnote>
  <w:footnote w:id="40">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CEDAW Committee, General Recommendation No. 21: Equality in Marriage and Family Relations, para. 16.</w:t>
      </w:r>
    </w:p>
  </w:footnote>
  <w:footnote w:id="41">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w:t>
      </w:r>
      <w:r>
        <w:rPr>
          <w:rStyle w:val="dnA"/>
          <w:rFonts w:ascii="Futura Lt BT" w:eastAsia="Futura Lt BT" w:hAnsi="Futura Lt BT" w:cs="Futura Lt BT"/>
          <w:i/>
          <w:iCs/>
          <w:sz w:val="18"/>
          <w:szCs w:val="18"/>
        </w:rPr>
        <w:t>Ibid</w:t>
      </w:r>
      <w:r>
        <w:rPr>
          <w:rStyle w:val="dnA"/>
          <w:rFonts w:ascii="Futura Lt BT" w:eastAsia="Futura Lt BT" w:hAnsi="Futura Lt BT" w:cs="Futura Lt BT"/>
          <w:sz w:val="18"/>
          <w:szCs w:val="18"/>
        </w:rPr>
        <w:t>.</w:t>
      </w:r>
    </w:p>
  </w:footnote>
  <w:footnote w:id="42">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Article 23 (1</w:t>
      </w:r>
      <w:proofErr w:type="gramStart"/>
      <w:r>
        <w:rPr>
          <w:rStyle w:val="dnA"/>
          <w:rFonts w:ascii="Futura Lt BT" w:eastAsia="Futura Lt BT" w:hAnsi="Futura Lt BT" w:cs="Futura Lt BT"/>
          <w:sz w:val="18"/>
          <w:szCs w:val="18"/>
        </w:rPr>
        <w:t>)(</w:t>
      </w:r>
      <w:proofErr w:type="gramEnd"/>
      <w:r>
        <w:rPr>
          <w:rStyle w:val="dnA"/>
          <w:rFonts w:ascii="Futura Lt BT" w:eastAsia="Futura Lt BT" w:hAnsi="Futura Lt BT" w:cs="Futura Lt BT"/>
          <w:sz w:val="18"/>
          <w:szCs w:val="18"/>
        </w:rPr>
        <w:t>a) CRPD in conjunction</w:t>
      </w:r>
      <w:r>
        <w:rPr>
          <w:rStyle w:val="dnA"/>
          <w:rFonts w:ascii="Futura Lt BT" w:eastAsia="Futura Lt BT" w:hAnsi="Futura Lt BT" w:cs="Futura Lt BT"/>
          <w:sz w:val="18"/>
          <w:szCs w:val="18"/>
        </w:rPr>
        <w:t xml:space="preserve"> with Article 12 CRPD. </w:t>
      </w:r>
    </w:p>
  </w:footnote>
  <w:footnote w:id="43">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CESCR Committee, General Comment No. 5: Persons with Disabilities, 9 December 1994 para. 30.</w:t>
      </w:r>
    </w:p>
  </w:footnote>
  <w:footnote w:id="44">
    <w:p w:rsidR="00A244B0" w:rsidRDefault="00271384">
      <w:pPr>
        <w:pStyle w:val="FootnoteText"/>
        <w:jc w:val="both"/>
      </w:pPr>
      <w:r>
        <w:rPr>
          <w:rStyle w:val="dnA"/>
          <w:rFonts w:ascii="Futura Lt BT" w:eastAsia="Futura Lt BT" w:hAnsi="Futura Lt BT" w:cs="Futura Lt BT"/>
          <w:vertAlign w:val="superscript"/>
        </w:rPr>
        <w:footnoteRef/>
      </w:r>
      <w:r>
        <w:rPr>
          <w:rStyle w:val="dnA"/>
          <w:rFonts w:ascii="Futura Lt BT" w:eastAsia="Futura Lt BT" w:hAnsi="Futura Lt BT" w:cs="Futura Lt BT"/>
          <w:sz w:val="18"/>
          <w:szCs w:val="18"/>
        </w:rPr>
        <w:t xml:space="preserve"> CRPD Committee, Concluding Observations: Czech Republic, CRPD/C/CZE/CO/1, 15 May 2015</w:t>
      </w:r>
      <w:r w:rsidR="00CB2AF5">
        <w:rPr>
          <w:rStyle w:val="dnA"/>
          <w:rFonts w:ascii="Futura Lt BT" w:eastAsia="Futura Lt BT" w:hAnsi="Futura Lt BT" w:cs="Futura Lt BT"/>
          <w:sz w:val="18"/>
          <w:szCs w:val="18"/>
        </w:rPr>
        <w:t xml:space="preserve">, </w:t>
      </w:r>
      <w:r>
        <w:rPr>
          <w:rStyle w:val="dnA"/>
          <w:rFonts w:ascii="Futura Lt BT" w:eastAsia="Futura Lt BT" w:hAnsi="Futura Lt BT" w:cs="Futura Lt BT"/>
          <w:sz w:val="18"/>
          <w:szCs w:val="18"/>
        </w:rPr>
        <w:t>para</w:t>
      </w:r>
      <w:r w:rsidR="00CB2AF5">
        <w:rPr>
          <w:rStyle w:val="dnA"/>
          <w:rFonts w:ascii="Futura Lt BT" w:eastAsia="Futura Lt BT" w:hAnsi="Futura Lt BT" w:cs="Futura Lt BT"/>
          <w:sz w:val="18"/>
          <w:szCs w:val="18"/>
        </w:rPr>
        <w:t>s</w:t>
      </w:r>
      <w:r>
        <w:rPr>
          <w:rStyle w:val="dnA"/>
          <w:rFonts w:ascii="Futura Lt BT" w:eastAsia="Futura Lt BT" w:hAnsi="Futura Lt BT" w:cs="Futura Lt BT"/>
          <w:sz w:val="18"/>
          <w:szCs w:val="18"/>
        </w:rPr>
        <w:t xml:space="preserve">. </w:t>
      </w:r>
      <w:proofErr w:type="gramStart"/>
      <w:r>
        <w:rPr>
          <w:rStyle w:val="dnA"/>
          <w:rFonts w:ascii="Futura Lt BT" w:eastAsia="Futura Lt BT" w:hAnsi="Futura Lt BT" w:cs="Futura Lt BT"/>
          <w:sz w:val="18"/>
          <w:szCs w:val="18"/>
        </w:rPr>
        <w:t>45 and 46.</w:t>
      </w:r>
      <w:proofErr w:type="gramEnd"/>
      <w:r>
        <w:rPr>
          <w:rStyle w:val="dnA"/>
          <w:rFonts w:ascii="Futura Lt BT" w:eastAsia="Futura Lt BT" w:hAnsi="Futura Lt BT" w:cs="Futura Lt BT"/>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E5CD8"/>
    <w:multiLevelType w:val="hybridMultilevel"/>
    <w:tmpl w:val="9DF0A066"/>
    <w:numStyleLink w:val="Psmena"/>
  </w:abstractNum>
  <w:abstractNum w:abstractNumId="1">
    <w:nsid w:val="55C816C6"/>
    <w:multiLevelType w:val="hybridMultilevel"/>
    <w:tmpl w:val="9DF0A066"/>
    <w:styleLink w:val="Psmena"/>
    <w:lvl w:ilvl="0" w:tplc="1A58117A">
      <w:start w:val="1"/>
      <w:numFmt w:val="upperRoman"/>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1" w:tplc="C486F66A">
      <w:start w:val="1"/>
      <w:numFmt w:val="upperRoman"/>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2" w:tplc="ED686364">
      <w:start w:val="1"/>
      <w:numFmt w:val="upp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3" w:tplc="8BD02278">
      <w:start w:val="1"/>
      <w:numFmt w:val="upperRoman"/>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4" w:tplc="BF5CB08A">
      <w:start w:val="1"/>
      <w:numFmt w:val="upperRoman"/>
      <w:lvlText w:val="%5."/>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5" w:tplc="4F0A8A2E">
      <w:start w:val="1"/>
      <w:numFmt w:val="upp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6" w:tplc="AB488070">
      <w:start w:val="1"/>
      <w:numFmt w:val="upperRoman"/>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7" w:tplc="D3666D68">
      <w:start w:val="1"/>
      <w:numFmt w:val="upperRoman"/>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566"/>
        </w:tabs>
        <w:ind w:left="7368"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8" w:tplc="89C273AE">
      <w:start w:val="1"/>
      <w:numFmt w:val="upp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8368" w:hanging="368"/>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A244B0"/>
    <w:rsid w:val="00271384"/>
    <w:rsid w:val="00A244B0"/>
    <w:rsid w:val="00CB2AF5"/>
    <w:rsid w:val="00FD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character" w:customStyle="1" w:styleId="dnA">
    <w:name w:val="Žádný A"/>
  </w:style>
  <w:style w:type="paragraph" w:customStyle="1" w:styleId="Text">
    <w:name w:val="Text"/>
    <w:rPr>
      <w:rFonts w:cs="Arial Unicode MS"/>
      <w:color w:val="000000"/>
      <w:sz w:val="24"/>
      <w:szCs w:val="24"/>
      <w:u w:color="000000"/>
    </w:rPr>
  </w:style>
  <w:style w:type="paragraph" w:customStyle="1" w:styleId="VchozA">
    <w:name w:val="Výchozí A"/>
    <w:rPr>
      <w:rFonts w:ascii="Helvetica" w:eastAsia="Helvetica" w:hAnsi="Helvetica" w:cs="Helvetica"/>
      <w:color w:val="000000"/>
      <w:sz w:val="22"/>
      <w:szCs w:val="22"/>
      <w:u w:color="000000"/>
    </w:rPr>
  </w:style>
  <w:style w:type="numbering" w:customStyle="1" w:styleId="Psmena">
    <w:name w:val="Písmena"/>
    <w:pPr>
      <w:numPr>
        <w:numId w:val="1"/>
      </w:numPr>
    </w:pPr>
  </w:style>
  <w:style w:type="character" w:customStyle="1" w:styleId="Odkaz">
    <w:name w:val="Odkaz"/>
    <w:rPr>
      <w:color w:val="0000FF"/>
      <w:u w:val="single" w:color="0000FF"/>
    </w:rPr>
  </w:style>
  <w:style w:type="character" w:customStyle="1" w:styleId="Hyperlink0">
    <w:name w:val="Hyperlink.0"/>
    <w:basedOn w:val="Odkaz"/>
    <w:rPr>
      <w:rFonts w:ascii="Futura Lt BT" w:eastAsia="Futura Lt BT" w:hAnsi="Futura Lt BT" w:cs="Futura Lt BT"/>
      <w:color w:val="0000FF"/>
      <w:sz w:val="24"/>
      <w:szCs w:val="24"/>
      <w:u w:val="single" w:color="0000FF"/>
    </w:rPr>
  </w:style>
  <w:style w:type="paragraph" w:styleId="FootnoteText">
    <w:name w:val="footnote text"/>
    <w:rPr>
      <w:rFonts w:ascii="Calibri" w:eastAsia="Calibri" w:hAnsi="Calibri" w:cs="Calibri"/>
      <w:color w:val="000000"/>
      <w:u w:color="000000"/>
    </w:rPr>
  </w:style>
  <w:style w:type="character" w:customStyle="1" w:styleId="Hyperlink1">
    <w:name w:val="Hyperlink.1"/>
    <w:basedOn w:val="dnA"/>
    <w:rPr>
      <w:rFonts w:ascii="Futura Lt BT" w:eastAsia="Futura Lt BT" w:hAnsi="Futura Lt BT" w:cs="Futura Lt BT"/>
      <w:color w:val="0000FF"/>
      <w:sz w:val="18"/>
      <w:szCs w:val="18"/>
      <w:u w:val="single" w:color="0000FF"/>
    </w:rPr>
  </w:style>
  <w:style w:type="paragraph" w:customStyle="1" w:styleId="Vchoz">
    <w:name w:val="Výchozí"/>
    <w:rPr>
      <w:rFonts w:ascii="Helvetica" w:eastAsia="Helvetica" w:hAnsi="Helvetica" w:cs="Helvetica"/>
      <w:color w:val="000000"/>
      <w:sz w:val="22"/>
      <w:szCs w:val="22"/>
    </w:rPr>
  </w:style>
  <w:style w:type="character" w:customStyle="1" w:styleId="Hyperlink2">
    <w:name w:val="Hyperlink.2"/>
    <w:basedOn w:val="Odkaz"/>
    <w:rPr>
      <w:rFonts w:ascii="Futura Lt BT" w:eastAsia="Futura Lt BT" w:hAnsi="Futura Lt BT" w:cs="Futura Lt BT"/>
      <w:color w:val="0000FF"/>
      <w:sz w:val="18"/>
      <w:szCs w:val="18"/>
      <w:u w:val="single" w:color="0000FF"/>
    </w:rPr>
  </w:style>
  <w:style w:type="paragraph" w:customStyle="1" w:styleId="TextA">
    <w:name w:val="Text A"/>
    <w:rPr>
      <w:rFonts w:cs="Arial Unicode MS"/>
      <w:color w:val="000000"/>
      <w:sz w:val="24"/>
      <w:szCs w:val="24"/>
      <w:u w:color="000000"/>
    </w:rPr>
  </w:style>
  <w:style w:type="character" w:customStyle="1" w:styleId="Hyperlink3">
    <w:name w:val="Hyperlink.3"/>
    <w:basedOn w:val="Odkaz"/>
    <w:rPr>
      <w:rFonts w:ascii="Futura Lt BT" w:eastAsia="Futura Lt BT" w:hAnsi="Futura Lt BT" w:cs="Futura Lt BT"/>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2AF5"/>
    <w:rPr>
      <w:rFonts w:ascii="Tahoma" w:hAnsi="Tahoma" w:cs="Tahoma"/>
      <w:sz w:val="16"/>
      <w:szCs w:val="16"/>
    </w:rPr>
  </w:style>
  <w:style w:type="character" w:customStyle="1" w:styleId="BalloonTextChar">
    <w:name w:val="Balloon Text Char"/>
    <w:basedOn w:val="DefaultParagraphFont"/>
    <w:link w:val="BalloonText"/>
    <w:uiPriority w:val="99"/>
    <w:semiHidden/>
    <w:rsid w:val="00CB2AF5"/>
    <w:rPr>
      <w:rFonts w:ascii="Tahoma" w:hAnsi="Tahoma" w:cs="Tahoma"/>
      <w:sz w:val="16"/>
      <w:szCs w:val="16"/>
    </w:rPr>
  </w:style>
  <w:style w:type="paragraph" w:styleId="Header">
    <w:name w:val="header"/>
    <w:basedOn w:val="Normal"/>
    <w:link w:val="HeaderChar"/>
    <w:uiPriority w:val="99"/>
    <w:unhideWhenUsed/>
    <w:rsid w:val="00271384"/>
    <w:pPr>
      <w:tabs>
        <w:tab w:val="center" w:pos="4680"/>
        <w:tab w:val="right" w:pos="9360"/>
      </w:tabs>
    </w:pPr>
  </w:style>
  <w:style w:type="character" w:customStyle="1" w:styleId="HeaderChar">
    <w:name w:val="Header Char"/>
    <w:basedOn w:val="DefaultParagraphFont"/>
    <w:link w:val="Header"/>
    <w:uiPriority w:val="99"/>
    <w:rsid w:val="00271384"/>
    <w:rPr>
      <w:sz w:val="24"/>
      <w:szCs w:val="24"/>
    </w:rPr>
  </w:style>
  <w:style w:type="paragraph" w:styleId="Footer">
    <w:name w:val="footer"/>
    <w:basedOn w:val="Normal"/>
    <w:link w:val="FooterChar"/>
    <w:uiPriority w:val="99"/>
    <w:unhideWhenUsed/>
    <w:rsid w:val="00271384"/>
    <w:pPr>
      <w:tabs>
        <w:tab w:val="center" w:pos="4680"/>
        <w:tab w:val="right" w:pos="9360"/>
      </w:tabs>
    </w:pPr>
  </w:style>
  <w:style w:type="character" w:customStyle="1" w:styleId="FooterChar">
    <w:name w:val="Footer Char"/>
    <w:basedOn w:val="DefaultParagraphFont"/>
    <w:link w:val="Footer"/>
    <w:uiPriority w:val="99"/>
    <w:rsid w:val="002713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character" w:customStyle="1" w:styleId="dnA">
    <w:name w:val="Žádný A"/>
  </w:style>
  <w:style w:type="paragraph" w:customStyle="1" w:styleId="Text">
    <w:name w:val="Text"/>
    <w:rPr>
      <w:rFonts w:cs="Arial Unicode MS"/>
      <w:color w:val="000000"/>
      <w:sz w:val="24"/>
      <w:szCs w:val="24"/>
      <w:u w:color="000000"/>
    </w:rPr>
  </w:style>
  <w:style w:type="paragraph" w:customStyle="1" w:styleId="VchozA">
    <w:name w:val="Výchozí A"/>
    <w:rPr>
      <w:rFonts w:ascii="Helvetica" w:eastAsia="Helvetica" w:hAnsi="Helvetica" w:cs="Helvetica"/>
      <w:color w:val="000000"/>
      <w:sz w:val="22"/>
      <w:szCs w:val="22"/>
      <w:u w:color="000000"/>
    </w:rPr>
  </w:style>
  <w:style w:type="numbering" w:customStyle="1" w:styleId="Psmena">
    <w:name w:val="Písmena"/>
    <w:pPr>
      <w:numPr>
        <w:numId w:val="1"/>
      </w:numPr>
    </w:pPr>
  </w:style>
  <w:style w:type="character" w:customStyle="1" w:styleId="Odkaz">
    <w:name w:val="Odkaz"/>
    <w:rPr>
      <w:color w:val="0000FF"/>
      <w:u w:val="single" w:color="0000FF"/>
    </w:rPr>
  </w:style>
  <w:style w:type="character" w:customStyle="1" w:styleId="Hyperlink0">
    <w:name w:val="Hyperlink.0"/>
    <w:basedOn w:val="Odkaz"/>
    <w:rPr>
      <w:rFonts w:ascii="Futura Lt BT" w:eastAsia="Futura Lt BT" w:hAnsi="Futura Lt BT" w:cs="Futura Lt BT"/>
      <w:color w:val="0000FF"/>
      <w:sz w:val="24"/>
      <w:szCs w:val="24"/>
      <w:u w:val="single" w:color="0000FF"/>
    </w:rPr>
  </w:style>
  <w:style w:type="paragraph" w:styleId="FootnoteText">
    <w:name w:val="footnote text"/>
    <w:rPr>
      <w:rFonts w:ascii="Calibri" w:eastAsia="Calibri" w:hAnsi="Calibri" w:cs="Calibri"/>
      <w:color w:val="000000"/>
      <w:u w:color="000000"/>
    </w:rPr>
  </w:style>
  <w:style w:type="character" w:customStyle="1" w:styleId="Hyperlink1">
    <w:name w:val="Hyperlink.1"/>
    <w:basedOn w:val="dnA"/>
    <w:rPr>
      <w:rFonts w:ascii="Futura Lt BT" w:eastAsia="Futura Lt BT" w:hAnsi="Futura Lt BT" w:cs="Futura Lt BT"/>
      <w:color w:val="0000FF"/>
      <w:sz w:val="18"/>
      <w:szCs w:val="18"/>
      <w:u w:val="single" w:color="0000FF"/>
    </w:rPr>
  </w:style>
  <w:style w:type="paragraph" w:customStyle="1" w:styleId="Vchoz">
    <w:name w:val="Výchozí"/>
    <w:rPr>
      <w:rFonts w:ascii="Helvetica" w:eastAsia="Helvetica" w:hAnsi="Helvetica" w:cs="Helvetica"/>
      <w:color w:val="000000"/>
      <w:sz w:val="22"/>
      <w:szCs w:val="22"/>
    </w:rPr>
  </w:style>
  <w:style w:type="character" w:customStyle="1" w:styleId="Hyperlink2">
    <w:name w:val="Hyperlink.2"/>
    <w:basedOn w:val="Odkaz"/>
    <w:rPr>
      <w:rFonts w:ascii="Futura Lt BT" w:eastAsia="Futura Lt BT" w:hAnsi="Futura Lt BT" w:cs="Futura Lt BT"/>
      <w:color w:val="0000FF"/>
      <w:sz w:val="18"/>
      <w:szCs w:val="18"/>
      <w:u w:val="single" w:color="0000FF"/>
    </w:rPr>
  </w:style>
  <w:style w:type="paragraph" w:customStyle="1" w:styleId="TextA">
    <w:name w:val="Text A"/>
    <w:rPr>
      <w:rFonts w:cs="Arial Unicode MS"/>
      <w:color w:val="000000"/>
      <w:sz w:val="24"/>
      <w:szCs w:val="24"/>
      <w:u w:color="000000"/>
    </w:rPr>
  </w:style>
  <w:style w:type="character" w:customStyle="1" w:styleId="Hyperlink3">
    <w:name w:val="Hyperlink.3"/>
    <w:basedOn w:val="Odkaz"/>
    <w:rPr>
      <w:rFonts w:ascii="Futura Lt BT" w:eastAsia="Futura Lt BT" w:hAnsi="Futura Lt BT" w:cs="Futura Lt BT"/>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2AF5"/>
    <w:rPr>
      <w:rFonts w:ascii="Tahoma" w:hAnsi="Tahoma" w:cs="Tahoma"/>
      <w:sz w:val="16"/>
      <w:szCs w:val="16"/>
    </w:rPr>
  </w:style>
  <w:style w:type="character" w:customStyle="1" w:styleId="BalloonTextChar">
    <w:name w:val="Balloon Text Char"/>
    <w:basedOn w:val="DefaultParagraphFont"/>
    <w:link w:val="BalloonText"/>
    <w:uiPriority w:val="99"/>
    <w:semiHidden/>
    <w:rsid w:val="00CB2AF5"/>
    <w:rPr>
      <w:rFonts w:ascii="Tahoma" w:hAnsi="Tahoma" w:cs="Tahoma"/>
      <w:sz w:val="16"/>
      <w:szCs w:val="16"/>
    </w:rPr>
  </w:style>
  <w:style w:type="paragraph" w:styleId="Header">
    <w:name w:val="header"/>
    <w:basedOn w:val="Normal"/>
    <w:link w:val="HeaderChar"/>
    <w:uiPriority w:val="99"/>
    <w:unhideWhenUsed/>
    <w:rsid w:val="00271384"/>
    <w:pPr>
      <w:tabs>
        <w:tab w:val="center" w:pos="4680"/>
        <w:tab w:val="right" w:pos="9360"/>
      </w:tabs>
    </w:pPr>
  </w:style>
  <w:style w:type="character" w:customStyle="1" w:styleId="HeaderChar">
    <w:name w:val="Header Char"/>
    <w:basedOn w:val="DefaultParagraphFont"/>
    <w:link w:val="Header"/>
    <w:uiPriority w:val="99"/>
    <w:rsid w:val="00271384"/>
    <w:rPr>
      <w:sz w:val="24"/>
      <w:szCs w:val="24"/>
    </w:rPr>
  </w:style>
  <w:style w:type="paragraph" w:styleId="Footer">
    <w:name w:val="footer"/>
    <w:basedOn w:val="Normal"/>
    <w:link w:val="FooterChar"/>
    <w:uiPriority w:val="99"/>
    <w:unhideWhenUsed/>
    <w:rsid w:val="00271384"/>
    <w:pPr>
      <w:tabs>
        <w:tab w:val="center" w:pos="4680"/>
        <w:tab w:val="right" w:pos="9360"/>
      </w:tabs>
    </w:pPr>
  </w:style>
  <w:style w:type="character" w:customStyle="1" w:styleId="FooterChar">
    <w:name w:val="Footer Char"/>
    <w:basedOn w:val="DefaultParagraphFont"/>
    <w:link w:val="Footer"/>
    <w:uiPriority w:val="99"/>
    <w:rsid w:val="002713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ana@mdac.org" TargetMode="External"/><Relationship Id="rId4" Type="http://schemas.openxmlformats.org/officeDocument/2006/relationships/settings" Target="settings.xml"/><Relationship Id="rId9" Type="http://schemas.openxmlformats.org/officeDocument/2006/relationships/hyperlink" Target="http://www.mda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heguardian.com/society/2015/jun/10/violence-much-more-severe-against-women-with-disabilities-research-shows" TargetMode="External"/><Relationship Id="rId2" Type="http://schemas.openxmlformats.org/officeDocument/2006/relationships/hyperlink" Target="http://www.vawnet.org/applied-research-papers/print-document.php?doc_id=2077" TargetMode="External"/><Relationship Id="rId1" Type="http://schemas.openxmlformats.org/officeDocument/2006/relationships/hyperlink" Target="http://www.who.int/disabilities/world_report/2011/en/" TargetMode="External"/><Relationship Id="rId6" Type="http://schemas.openxmlformats.org/officeDocument/2006/relationships/hyperlink" Target="http://www.msmt.cz/vzdelavani/skolstvi-v-cr/statistika-skolstvi/statisticka-rocenka-skolstvi-vykonove-ukazatele" TargetMode="External"/><Relationship Id="rId5" Type="http://schemas.openxmlformats.org/officeDocument/2006/relationships/hyperlink" Target="http://www.mpsv.cz/files/clanky/14540/III_vlada__Akcni_plan_staruti_.pdf" TargetMode="External"/><Relationship Id="rId4" Type="http://schemas.openxmlformats.org/officeDocument/2006/relationships/hyperlink" Target="http://www.mdri-s.org/wp-content/uploads/2013/10/human-rights-oversight-in-institutional-settings.pdf" TargetMode="Externa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a:ea typeface="Helvetica"/>
        <a:cs typeface="Helvetica"/>
      </a:majorFont>
      <a:minorFont>
        <a:latin typeface="Helvetica"/>
        <a:ea typeface="Helvetica"/>
        <a:cs typeface="Helvetica"/>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2683</Words>
  <Characters>15296</Characters>
  <Application>Microsoft Office Word</Application>
  <DocSecurity>0</DocSecurity>
  <Lines>127</Lines>
  <Paragraphs>35</Paragraphs>
  <ScaleCrop>false</ScaleCrop>
  <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Allen</dc:creator>
  <cp:lastModifiedBy>Steven Allen</cp:lastModifiedBy>
  <cp:revision>4</cp:revision>
  <dcterms:created xsi:type="dcterms:W3CDTF">2016-01-22T18:49:00Z</dcterms:created>
  <dcterms:modified xsi:type="dcterms:W3CDTF">2016-01-22T19:01:00Z</dcterms:modified>
</cp:coreProperties>
</file>